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34</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Household Safety Profile Data Policy</w:t>
      </w:r>
    </w:p>
    <w:p>
      <w:pPr>
        <w:spacing w:after="0" w:before="0"/>
        <w:jc w:val="center"/>
      </w:pPr>
      <w:r>
        <w:rPr>
          <w:rFonts w:ascii="Arial" w:cs="Arial" w:eastAsia="Arial" w:hAnsi="Arial"/>
          <w:i/>
          <w:iCs/>
          <w:color w:val="4A4A4A"/>
          <w:sz w:val="20"/>
          <w:szCs w:val="20"/>
        </w:rPr>
        <w:t xml:space="preserve">Holon Foundation — Policy No. 34</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Reconciled § 3 collection of "age range of household members" with Policy No. 31 § 5 COPPA collection bar by anchoring all minor-related entries to an adult account holder providing verifiable parental consent under 16 C.F.R. § 312.5(b), and applying Texas SCOPE Act protections for any data referencing a minor.</w:t>
      </w:r>
    </w:p>
    <w:p>
      <w:pPr>
        <w:pStyle w:val="ListParagraph"/>
        <w:numPr>
          <w:ilvl w:val="0"/>
          <w:numId w:val="2"/>
        </w:numPr>
        <w:spacing w:after="40" w:before="40" w:line="300"/>
      </w:pPr>
      <w:r>
        <w:rPr>
          <w:rFonts w:ascii="Arial" w:cs="Arial" w:eastAsia="Arial" w:hAnsi="Arial"/>
          <w:color w:val="1F1E1E"/>
          <w:sz w:val="22"/>
          <w:szCs w:val="22"/>
        </w:rPr>
        <w:t xml:space="preserve">Harmonized § 5 deletion timing with Policy No. 15 and GDPR Article 17 (30-day production purge plus disclosed 30–90 day backup lag); added explicit research-anonymization carve-out.</w:t>
      </w:r>
    </w:p>
    <w:p>
      <w:pPr>
        <w:pStyle w:val="ListParagraph"/>
        <w:numPr>
          <w:ilvl w:val="0"/>
          <w:numId w:val="2"/>
        </w:numPr>
        <w:spacing w:after="40" w:before="40" w:line="300"/>
      </w:pPr>
      <w:r>
        <w:rPr>
          <w:rFonts w:ascii="Arial" w:cs="Arial" w:eastAsia="Arial" w:hAnsi="Arial"/>
          <w:color w:val="1F1E1E"/>
          <w:sz w:val="22"/>
          <w:szCs w:val="22"/>
        </w:rPr>
        <w:t xml:space="preserve">Expanded § 10 User Rights with the precise statutory anchors (GDPR Articles 15–22, TDPSA Bus. &amp; Com. Code Ch. 541, CCPA § 1798.100–150) and added response-timing, verification, and complaint-escalation procedure.</w:t>
      </w:r>
    </w:p>
    <w:p>
      <w:pPr>
        <w:pStyle w:val="ListParagraph"/>
        <w:numPr>
          <w:ilvl w:val="0"/>
          <w:numId w:val="2"/>
        </w:numPr>
        <w:spacing w:after="40" w:before="40" w:line="300"/>
      </w:pPr>
      <w:r>
        <w:rPr>
          <w:rFonts w:ascii="Arial" w:cs="Arial" w:eastAsia="Arial" w:hAnsi="Arial"/>
          <w:color w:val="1F1E1E"/>
          <w:sz w:val="22"/>
          <w:szCs w:val="22"/>
        </w:rPr>
        <w:t xml:space="preserve">Linked § 9 Third-Party Sharing to the published Sub-Processors page consistent with GDPR Article 28.</w:t>
      </w:r>
    </w:p>
    <w:p>
      <w:pPr>
        <w:pStyle w:val="ListParagraph"/>
        <w:numPr>
          <w:ilvl w:val="0"/>
          <w:numId w:val="2"/>
        </w:numPr>
        <w:spacing w:after="40" w:before="40" w:line="300"/>
      </w:pPr>
      <w:r>
        <w:rPr>
          <w:rFonts w:ascii="Arial" w:cs="Arial" w:eastAsia="Arial" w:hAnsi="Arial"/>
          <w:color w:val="1F1E1E"/>
          <w:sz w:val="22"/>
          <w:szCs w:val="22"/>
        </w:rPr>
        <w:t xml:space="preserve">Adopted unified electronic acknowledgment under Texas UETA (Bus. &amp; Com. Code § 322), replacing the duplicative paper signature block shared across safety policies.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w:t>
      </w:r>
    </w:p>
    <w:p>
      <w:pPr>
        <w:spacing w:after="120" w:before="60" w:line="320"/>
        <w:jc w:val="both"/>
      </w:pPr>
      <w:r>
        <w:rPr>
          <w:rFonts w:ascii="Arial" w:cs="Arial" w:eastAsia="Arial" w:hAnsi="Arial"/>
          <w:color w:val="1F1E1E"/>
          <w:sz w:val="22"/>
          <w:szCs w:val="22"/>
        </w:rPr>
        <w:t xml:space="preserve">The Holon Foundation Garden Platform collects limited household safety profile information to provide personalized plant recommendations and safety guidance. This policy explains what data is collected, what is NOT collected, how it is used, and user rights regarding data retention and deletion.</w:t>
      </w:r>
    </w:p>
    <w:p>
      <w:pPr>
        <w:keepNext/>
        <w:spacing w:after="160" w:before="360"/>
      </w:pPr>
      <w:r>
        <w:rPr>
          <w:rFonts w:ascii="Arial" w:cs="Arial" w:eastAsia="Arial" w:hAnsi="Arial"/>
          <w:b/>
          <w:bCs/>
          <w:color w:val="561217"/>
          <w:sz w:val="26"/>
          <w:szCs w:val="26"/>
        </w:rPr>
        <w:t xml:space="preserve">2. Definitions</w:t>
      </w:r>
    </w:p>
    <w:p>
      <w:pPr>
        <w:pStyle w:val="ListParagraph"/>
        <w:numPr>
          <w:ilvl w:val="0"/>
          <w:numId w:val="2"/>
        </w:numPr>
        <w:spacing w:after="40" w:before="40" w:line="300"/>
      </w:pPr>
      <w:r>
        <w:rPr>
          <w:rFonts w:ascii="Arial" w:cs="Arial" w:eastAsia="Arial" w:hAnsi="Arial"/>
          <w:b/>
          <w:bCs/>
          <w:color w:val="1F1E1E"/>
          <w:sz w:val="22"/>
          <w:szCs w:val="22"/>
        </w:rPr>
        <w:t xml:space="preserve">Household Safety Profile.</w:t>
      </w:r>
      <w:r>
        <w:rPr>
          <w:rFonts w:ascii="Arial" w:cs="Arial" w:eastAsia="Arial" w:hAnsi="Arial"/>
          <w:color w:val="1F1E1E"/>
          <w:sz w:val="22"/>
          <w:szCs w:val="22"/>
        </w:rPr>
        <w:t xml:space="preserve"> Limited demographic and environmental data used to customize safety recommendations.</w:t>
      </w:r>
    </w:p>
    <w:p>
      <w:pPr>
        <w:pStyle w:val="ListParagraph"/>
        <w:numPr>
          <w:ilvl w:val="0"/>
          <w:numId w:val="2"/>
        </w:numPr>
        <w:spacing w:after="40" w:before="40" w:line="300"/>
      </w:pPr>
      <w:r>
        <w:rPr>
          <w:rFonts w:ascii="Arial" w:cs="Arial" w:eastAsia="Arial" w:hAnsi="Arial"/>
          <w:b/>
          <w:bCs/>
          <w:color w:val="1F1E1E"/>
          <w:sz w:val="22"/>
          <w:szCs w:val="22"/>
        </w:rPr>
        <w:t xml:space="preserve">Age Range.</w:t>
      </w:r>
      <w:r>
        <w:rPr>
          <w:rFonts w:ascii="Arial" w:cs="Arial" w:eastAsia="Arial" w:hAnsi="Arial"/>
          <w:color w:val="1F1E1E"/>
          <w:sz w:val="22"/>
          <w:szCs w:val="22"/>
        </w:rPr>
        <w:t xml:space="preserve"> Categorical age grouping (0-5, 6-12, 13-17, 18-64, 65+) rather than specific birth date.</w:t>
      </w:r>
    </w:p>
    <w:p>
      <w:pPr>
        <w:pStyle w:val="ListParagraph"/>
        <w:numPr>
          <w:ilvl w:val="0"/>
          <w:numId w:val="2"/>
        </w:numPr>
        <w:spacing w:after="40" w:before="40" w:line="300"/>
      </w:pPr>
      <w:r>
        <w:rPr>
          <w:rFonts w:ascii="Arial" w:cs="Arial" w:eastAsia="Arial" w:hAnsi="Arial"/>
          <w:b/>
          <w:bCs/>
          <w:color w:val="1F1E1E"/>
          <w:sz w:val="22"/>
          <w:szCs w:val="22"/>
        </w:rPr>
        <w:t xml:space="preserve">Pet Presence.</w:t>
      </w:r>
      <w:r>
        <w:rPr>
          <w:rFonts w:ascii="Arial" w:cs="Arial" w:eastAsia="Arial" w:hAnsi="Arial"/>
          <w:color w:val="1F1E1E"/>
          <w:sz w:val="22"/>
          <w:szCs w:val="22"/>
        </w:rPr>
        <w:t xml:space="preserve"> Binary indicator (yes/no) whether household contains pets.</w:t>
      </w:r>
    </w:p>
    <w:p>
      <w:pPr>
        <w:pStyle w:val="ListParagraph"/>
        <w:numPr>
          <w:ilvl w:val="0"/>
          <w:numId w:val="2"/>
        </w:numPr>
        <w:spacing w:after="40" w:before="40" w:line="300"/>
      </w:pPr>
      <w:r>
        <w:rPr>
          <w:rFonts w:ascii="Arial" w:cs="Arial" w:eastAsia="Arial" w:hAnsi="Arial"/>
          <w:b/>
          <w:bCs/>
          <w:color w:val="1F1E1E"/>
          <w:sz w:val="22"/>
          <w:szCs w:val="22"/>
        </w:rPr>
        <w:t xml:space="preserve">Personally Identifiable Information (PII).</w:t>
      </w:r>
      <w:r>
        <w:rPr>
          <w:rFonts w:ascii="Arial" w:cs="Arial" w:eastAsia="Arial" w:hAnsi="Arial"/>
          <w:color w:val="1F1E1E"/>
          <w:sz w:val="22"/>
          <w:szCs w:val="22"/>
        </w:rPr>
        <w:t xml:space="preserve"> Any data that can identify an individual (names, photos, contact details, etc.).</w:t>
      </w:r>
    </w:p>
    <w:p>
      <w:pPr>
        <w:pStyle w:val="ListParagraph"/>
        <w:numPr>
          <w:ilvl w:val="0"/>
          <w:numId w:val="2"/>
        </w:numPr>
        <w:spacing w:after="40" w:before="40" w:line="300"/>
      </w:pPr>
      <w:r>
        <w:rPr>
          <w:rFonts w:ascii="Arial" w:cs="Arial" w:eastAsia="Arial" w:hAnsi="Arial"/>
          <w:b/>
          <w:bCs/>
          <w:color w:val="1F1E1E"/>
          <w:sz w:val="22"/>
          <w:szCs w:val="22"/>
        </w:rPr>
        <w:t xml:space="preserve">Adult Account Holder.</w:t>
      </w:r>
      <w:r>
        <w:rPr>
          <w:rFonts w:ascii="Arial" w:cs="Arial" w:eastAsia="Arial" w:hAnsi="Arial"/>
          <w:color w:val="1F1E1E"/>
          <w:sz w:val="22"/>
          <w:szCs w:val="22"/>
        </w:rPr>
        <w:t xml:space="preserve"> A natural person age eighteen (18) or older who registers and maintains a Holon Foundation Garden Platform account and is responsible for the household safety profile associated with that account.</w:t>
      </w:r>
    </w:p>
    <w:p>
      <w:pPr>
        <w:pStyle w:val="ListParagraph"/>
        <w:numPr>
          <w:ilvl w:val="0"/>
          <w:numId w:val="2"/>
        </w:numPr>
        <w:spacing w:after="40" w:before="40" w:line="300"/>
      </w:pPr>
      <w:r>
        <w:rPr>
          <w:rFonts w:ascii="Arial" w:cs="Arial" w:eastAsia="Arial" w:hAnsi="Arial"/>
          <w:b/>
          <w:bCs/>
          <w:color w:val="1F1E1E"/>
          <w:sz w:val="22"/>
          <w:szCs w:val="22"/>
        </w:rPr>
        <w:t xml:space="preserve">Minor Reference Data.</w:t>
      </w:r>
      <w:r>
        <w:rPr>
          <w:rFonts w:ascii="Arial" w:cs="Arial" w:eastAsia="Arial" w:hAnsi="Arial"/>
          <w:color w:val="1F1E1E"/>
          <w:sz w:val="22"/>
          <w:szCs w:val="22"/>
        </w:rPr>
        <w:t xml:space="preserve"> Any data field that refers to a household member under the age of eighteen (18), including the age-range categories 0–5, 6–12, and 13–17.</w:t>
      </w:r>
    </w:p>
    <w:p>
      <w:pPr>
        <w:keepNext/>
        <w:spacing w:after="160" w:before="360"/>
      </w:pPr>
      <w:r>
        <w:rPr>
          <w:rFonts w:ascii="Arial" w:cs="Arial" w:eastAsia="Arial" w:hAnsi="Arial"/>
          <w:b/>
          <w:bCs/>
          <w:color w:val="561217"/>
          <w:sz w:val="26"/>
          <w:szCs w:val="26"/>
        </w:rPr>
        <w:t xml:space="preserve">3. Data Collected in Household Safety Profiles</w:t>
      </w:r>
    </w:p>
    <w:p>
      <w:pPr>
        <w:spacing w:after="120" w:before="60" w:line="320"/>
        <w:jc w:val="both"/>
      </w:pPr>
      <w:r>
        <w:rPr>
          <w:rFonts w:ascii="Arial" w:cs="Arial" w:eastAsia="Arial" w:hAnsi="Arial"/>
          <w:color w:val="1F1E1E"/>
          <w:sz w:val="22"/>
          <w:szCs w:val="22"/>
        </w:rPr>
        <w:t xml:space="preserve">The platform collects ONLY the following information:</w:t>
      </w:r>
    </w:p>
    <w:p>
      <w:pPr>
        <w:pStyle w:val="ListParagraph"/>
        <w:numPr>
          <w:ilvl w:val="0"/>
          <w:numId w:val="2"/>
        </w:numPr>
        <w:spacing w:after="40" w:before="40" w:line="300"/>
      </w:pPr>
      <w:r>
        <w:rPr>
          <w:rFonts w:ascii="Arial" w:cs="Arial" w:eastAsia="Arial" w:hAnsi="Arial"/>
          <w:color w:val="1F1E1E"/>
          <w:sz w:val="22"/>
          <w:szCs w:val="22"/>
        </w:rPr>
        <w:t xml:space="preserve">Age range of household members (age brackets 0–5, 6–12, 13–17, 18–64, 65+; not specific dates of birth)</w:t>
      </w:r>
    </w:p>
    <w:p>
      <w:pPr>
        <w:pStyle w:val="ListParagraph"/>
        <w:numPr>
          <w:ilvl w:val="0"/>
          <w:numId w:val="2"/>
        </w:numPr>
        <w:spacing w:after="40" w:before="40" w:line="300"/>
      </w:pPr>
      <w:r>
        <w:rPr>
          <w:rFonts w:ascii="Arial" w:cs="Arial" w:eastAsia="Arial" w:hAnsi="Arial"/>
          <w:color w:val="1F1E1E"/>
          <w:sz w:val="22"/>
          <w:szCs w:val="22"/>
        </w:rPr>
        <w:t xml:space="preserve">Presence of pets in the household (yes/no; no species or names)</w:t>
      </w:r>
    </w:p>
    <w:p>
      <w:pPr>
        <w:pStyle w:val="ListParagraph"/>
        <w:numPr>
          <w:ilvl w:val="0"/>
          <w:numId w:val="2"/>
        </w:numPr>
        <w:spacing w:after="40" w:before="40" w:line="300"/>
      </w:pPr>
      <w:r>
        <w:rPr>
          <w:rFonts w:ascii="Arial" w:cs="Arial" w:eastAsia="Arial" w:hAnsi="Arial"/>
          <w:color w:val="1F1E1E"/>
          <w:sz w:val="22"/>
          <w:szCs w:val="22"/>
        </w:rPr>
        <w:t xml:space="preserve">General location (city/state or zip code; no street address)</w:t>
      </w:r>
    </w:p>
    <w:p>
      <w:pPr>
        <w:keepNext/>
        <w:spacing w:after="120" w:before="240"/>
      </w:pPr>
      <w:r>
        <w:rPr>
          <w:rFonts w:ascii="Arial" w:cs="Arial" w:eastAsia="Arial" w:hAnsi="Arial"/>
          <w:b/>
          <w:bCs/>
          <w:color w:val="3B5937"/>
          <w:sz w:val="22"/>
          <w:szCs w:val="22"/>
        </w:rPr>
        <w:t xml:space="preserve">3.b Reconciliation with Policy No. 31 (Child Safety) and COPPA</w:t>
      </w:r>
    </w:p>
    <w:p>
      <w:pPr>
        <w:spacing w:after="120" w:before="60" w:line="320"/>
        <w:jc w:val="both"/>
      </w:pPr>
      <w:r>
        <w:rPr>
          <w:rFonts w:ascii="Arial" w:cs="Arial" w:eastAsia="Arial" w:hAnsi="Arial"/>
          <w:color w:val="1F1E1E"/>
          <w:sz w:val="22"/>
          <w:szCs w:val="22"/>
        </w:rPr>
        <w:t xml:space="preserve">Because age-range data referencing minors is information about a child that, when combined with the persistent identifier inherent in any registered platform account, may constitute "personal information" within the meaning of COPPA (16 C.F.R. § 312.2), the household safety profile is presented to and confirmed by an </w:t>
      </w:r>
      <w:r>
        <w:rPr>
          <w:rFonts w:ascii="Arial" w:cs="Arial" w:eastAsia="Arial" w:hAnsi="Arial"/>
          <w:b/>
          <w:bCs/>
          <w:color w:val="1F1E1E"/>
          <w:sz w:val="22"/>
          <w:szCs w:val="22"/>
        </w:rPr>
        <w:t xml:space="preserve">Adult Account Holder</w:t>
      </w:r>
      <w:r>
        <w:rPr>
          <w:rFonts w:ascii="Arial" w:cs="Arial" w:eastAsia="Arial" w:hAnsi="Arial"/>
          <w:color w:val="1F1E1E"/>
          <w:sz w:val="22"/>
          <w:szCs w:val="22"/>
        </w:rPr>
        <w:t xml:space="preserve"> who is the parent or legal guardian of any minor household members. The Adult Account Holder attests under Holon Foundation Policy No. 31 (Child Safety Policy) that they have authority to provide this information and provide verifiable parental consent (VPC) under FTC 16 C.F.R. § 312.5(b) for the limited purpose described in § 7.</w:t>
      </w:r>
    </w:p>
    <w:p>
      <w:pPr>
        <w:spacing w:after="120" w:before="60" w:line="320"/>
        <w:jc w:val="both"/>
      </w:pPr>
      <w:r>
        <w:rPr>
          <w:rFonts w:ascii="Arial" w:cs="Arial" w:eastAsia="Arial" w:hAnsi="Arial"/>
          <w:color w:val="1F1E1E"/>
          <w:sz w:val="22"/>
          <w:szCs w:val="22"/>
        </w:rPr>
        <w:t xml:space="preserve">The Foundation does not associate any Minor Reference Data with a specific minor's name, photograph, school, contact information, or any other directly identifying attribute; the Minor Reference Data is associated only with the Adult Account Holder's account record for purposes of plant-safety filtering. This treatment is consistent with Holon Foundation Policy No. 31 § 5, which prohibits direct collection of personal information from children under 13.</w:t>
      </w:r>
    </w:p>
    <w:p>
      <w:pPr>
        <w:spacing w:after="120" w:before="60" w:line="320"/>
        <w:jc w:val="both"/>
      </w:pPr>
      <w:r>
        <w:rPr>
          <w:rFonts w:ascii="Arial" w:cs="Arial" w:eastAsia="Arial" w:hAnsi="Arial"/>
          <w:color w:val="1F1E1E"/>
          <w:sz w:val="22"/>
          <w:szCs w:val="22"/>
        </w:rPr>
        <w:t xml:space="preserve">For minors ages 13–17, additional protections under the </w:t>
      </w:r>
      <w:r>
        <w:rPr>
          <w:rFonts w:ascii="Arial" w:cs="Arial" w:eastAsia="Arial" w:hAnsi="Arial"/>
          <w:b/>
          <w:bCs/>
          <w:color w:val="1F1E1E"/>
          <w:sz w:val="22"/>
          <w:szCs w:val="22"/>
        </w:rPr>
        <w:t xml:space="preserve">Texas SCOPE Act</w:t>
      </w:r>
      <w:r>
        <w:rPr>
          <w:rFonts w:ascii="Arial" w:cs="Arial" w:eastAsia="Arial" w:hAnsi="Arial"/>
          <w:color w:val="1F1E1E"/>
          <w:sz w:val="22"/>
          <w:szCs w:val="22"/>
        </w:rPr>
        <w:t xml:space="preserve">, Bus. &amp; Com. Code Ch. 509 apply (most-protective default privacy, no targeted advertising, verifiable parental consent for processing beyond strictly necessary). See Holon Foundation Policy No. 15 (Data Privacy and Security) § Minor Users.</w:t>
      </w:r>
    </w:p>
    <w:p>
      <w:pPr>
        <w:keepNext/>
        <w:spacing w:after="160" w:before="360"/>
      </w:pPr>
      <w:r>
        <w:rPr>
          <w:rFonts w:ascii="Arial" w:cs="Arial" w:eastAsia="Arial" w:hAnsi="Arial"/>
          <w:b/>
          <w:bCs/>
          <w:color w:val="561217"/>
          <w:sz w:val="26"/>
          <w:szCs w:val="26"/>
        </w:rPr>
        <w:t xml:space="preserve">4. Data NOT Collected</w:t>
      </w:r>
    </w:p>
    <w:p>
      <w:pPr>
        <w:spacing w:after="120" w:before="60" w:line="320"/>
        <w:jc w:val="both"/>
      </w:pPr>
      <w:r>
        <w:rPr>
          <w:rFonts w:ascii="Arial" w:cs="Arial" w:eastAsia="Arial" w:hAnsi="Arial"/>
          <w:color w:val="1F1E1E"/>
          <w:sz w:val="22"/>
          <w:szCs w:val="22"/>
        </w:rPr>
        <w:t xml:space="preserve">The Holon Foundation Garden Platform EXPLICITLY DOES NOT COLLECT:</w:t>
      </w:r>
    </w:p>
    <w:p>
      <w:pPr>
        <w:pStyle w:val="ListParagraph"/>
        <w:numPr>
          <w:ilvl w:val="0"/>
          <w:numId w:val="2"/>
        </w:numPr>
        <w:spacing w:after="40" w:before="40" w:line="300"/>
      </w:pPr>
      <w:r>
        <w:rPr>
          <w:rFonts w:ascii="Arial" w:cs="Arial" w:eastAsia="Arial" w:hAnsi="Arial"/>
          <w:color w:val="1F1E1E"/>
          <w:sz w:val="22"/>
          <w:szCs w:val="22"/>
        </w:rPr>
        <w:t xml:space="preserve">Names of any household members</w:t>
      </w:r>
    </w:p>
    <w:p>
      <w:pPr>
        <w:pStyle w:val="ListParagraph"/>
        <w:numPr>
          <w:ilvl w:val="0"/>
          <w:numId w:val="2"/>
        </w:numPr>
        <w:spacing w:after="40" w:before="40" w:line="300"/>
      </w:pPr>
      <w:r>
        <w:rPr>
          <w:rFonts w:ascii="Arial" w:cs="Arial" w:eastAsia="Arial" w:hAnsi="Arial"/>
          <w:color w:val="1F1E1E"/>
          <w:sz w:val="22"/>
          <w:szCs w:val="22"/>
        </w:rPr>
        <w:t xml:space="preserve">Photographs, images, or video of any person</w:t>
      </w:r>
    </w:p>
    <w:p>
      <w:pPr>
        <w:pStyle w:val="ListParagraph"/>
        <w:numPr>
          <w:ilvl w:val="0"/>
          <w:numId w:val="2"/>
        </w:numPr>
        <w:spacing w:after="40" w:before="40" w:line="300"/>
      </w:pPr>
      <w:r>
        <w:rPr>
          <w:rFonts w:ascii="Arial" w:cs="Arial" w:eastAsia="Arial" w:hAnsi="Arial"/>
          <w:color w:val="1F1E1E"/>
          <w:sz w:val="22"/>
          <w:szCs w:val="22"/>
        </w:rPr>
        <w:t xml:space="preserve">Direct personally identifiable information of children (under 13) (consistent with Policy No. 31 § 5)</w:t>
      </w:r>
    </w:p>
    <w:p>
      <w:pPr>
        <w:pStyle w:val="ListParagraph"/>
        <w:numPr>
          <w:ilvl w:val="0"/>
          <w:numId w:val="2"/>
        </w:numPr>
        <w:spacing w:after="40" w:before="40" w:line="300"/>
      </w:pPr>
      <w:r>
        <w:rPr>
          <w:rFonts w:ascii="Arial" w:cs="Arial" w:eastAsia="Arial" w:hAnsi="Arial"/>
          <w:color w:val="1F1E1E"/>
          <w:sz w:val="22"/>
          <w:szCs w:val="22"/>
        </w:rPr>
        <w:t xml:space="preserve">Email addresses or phone numbers associated with children</w:t>
      </w:r>
    </w:p>
    <w:p>
      <w:pPr>
        <w:pStyle w:val="ListParagraph"/>
        <w:numPr>
          <w:ilvl w:val="0"/>
          <w:numId w:val="2"/>
        </w:numPr>
        <w:spacing w:after="40" w:before="40" w:line="300"/>
      </w:pPr>
      <w:r>
        <w:rPr>
          <w:rFonts w:ascii="Arial" w:cs="Arial" w:eastAsia="Arial" w:hAnsi="Arial"/>
          <w:color w:val="1F1E1E"/>
          <w:sz w:val="22"/>
          <w:szCs w:val="22"/>
        </w:rPr>
        <w:t xml:space="preserve">Social security numbers or tax identification numbers</w:t>
      </w:r>
    </w:p>
    <w:p>
      <w:pPr>
        <w:pStyle w:val="ListParagraph"/>
        <w:numPr>
          <w:ilvl w:val="0"/>
          <w:numId w:val="2"/>
        </w:numPr>
        <w:spacing w:after="40" w:before="40" w:line="300"/>
      </w:pPr>
      <w:r>
        <w:rPr>
          <w:rFonts w:ascii="Arial" w:cs="Arial" w:eastAsia="Arial" w:hAnsi="Arial"/>
          <w:color w:val="1F1E1E"/>
          <w:sz w:val="22"/>
          <w:szCs w:val="22"/>
        </w:rPr>
        <w:t xml:space="preserve">Financial or payment information for safety profiles</w:t>
      </w:r>
    </w:p>
    <w:p>
      <w:pPr>
        <w:pStyle w:val="ListParagraph"/>
        <w:numPr>
          <w:ilvl w:val="0"/>
          <w:numId w:val="2"/>
        </w:numPr>
        <w:spacing w:after="40" w:before="40" w:line="300"/>
      </w:pPr>
      <w:r>
        <w:rPr>
          <w:rFonts w:ascii="Arial" w:cs="Arial" w:eastAsia="Arial" w:hAnsi="Arial"/>
          <w:color w:val="1F1E1E"/>
          <w:sz w:val="22"/>
          <w:szCs w:val="22"/>
        </w:rPr>
        <w:t xml:space="preserve">Medical records or health information beyond household composition</w:t>
      </w:r>
    </w:p>
    <w:p>
      <w:pPr>
        <w:pStyle w:val="ListParagraph"/>
        <w:numPr>
          <w:ilvl w:val="0"/>
          <w:numId w:val="2"/>
        </w:numPr>
        <w:spacing w:after="40" w:before="40" w:line="300"/>
      </w:pPr>
      <w:r>
        <w:rPr>
          <w:rFonts w:ascii="Arial" w:cs="Arial" w:eastAsia="Arial" w:hAnsi="Arial"/>
          <w:color w:val="1F1E1E"/>
          <w:sz w:val="22"/>
          <w:szCs w:val="22"/>
        </w:rPr>
        <w:t xml:space="preserve">Educational or school information</w:t>
      </w:r>
    </w:p>
    <w:p>
      <w:pPr>
        <w:pStyle w:val="ListParagraph"/>
        <w:numPr>
          <w:ilvl w:val="0"/>
          <w:numId w:val="2"/>
        </w:numPr>
        <w:spacing w:after="40" w:before="40" w:line="300"/>
      </w:pPr>
      <w:r>
        <w:rPr>
          <w:rFonts w:ascii="Arial" w:cs="Arial" w:eastAsia="Arial" w:hAnsi="Arial"/>
          <w:color w:val="1F1E1E"/>
          <w:sz w:val="22"/>
          <w:szCs w:val="22"/>
        </w:rPr>
        <w:t xml:space="preserve">Exact street address or residential coordinates</w:t>
      </w:r>
    </w:p>
    <w:p>
      <w:pPr>
        <w:keepNext/>
        <w:spacing w:after="160" w:before="360"/>
      </w:pPr>
      <w:r>
        <w:rPr>
          <w:rFonts w:ascii="Arial" w:cs="Arial" w:eastAsia="Arial" w:hAnsi="Arial"/>
          <w:b/>
          <w:bCs/>
          <w:color w:val="561217"/>
          <w:sz w:val="26"/>
          <w:szCs w:val="26"/>
        </w:rPr>
        <w:t xml:space="preserve">5. Data Retention Policies</w:t>
      </w:r>
    </w:p>
    <w:p>
      <w:pPr>
        <w:spacing w:after="120" w:before="60" w:line="320"/>
        <w:jc w:val="both"/>
      </w:pPr>
      <w:r>
        <w:rPr>
          <w:rFonts w:ascii="Arial" w:cs="Arial" w:eastAsia="Arial" w:hAnsi="Arial"/>
          <w:color w:val="1F1E1E"/>
          <w:sz w:val="22"/>
          <w:szCs w:val="22"/>
        </w:rPr>
        <w:t xml:space="preserve">Household safety profiles are retained as long as the user account is active. Upon account deletion or upon a verified deletion request under § 6, profile data is removed from production systems within thirty (30) days. Backup copies retained by the Foundation's primary infrastructure provider (Supabase) and any sub-processors for disaster-recovery purposes are purged consistent with the provider's data lifecycle (typically 30–90 days from primary deletion).</w:t>
      </w:r>
    </w:p>
    <w:p>
      <w:pPr>
        <w:spacing w:after="120" w:before="60" w:line="320"/>
        <w:jc w:val="both"/>
      </w:pPr>
      <w:r>
        <w:rPr>
          <w:rFonts w:ascii="Arial" w:cs="Arial" w:eastAsia="Arial" w:hAnsi="Arial"/>
          <w:color w:val="1F1E1E"/>
          <w:sz w:val="22"/>
          <w:szCs w:val="22"/>
        </w:rPr>
        <w:t xml:space="preserve">Anonymized, aggregated derivatives (e.g., "households with pets represent 45% of users") that cannot be reasonably linked to the individual may be retained for research purposes consistent with Holon Foundation Policy No. 15 (Data Privacy and Security) § Lawful Basis. This retention practice is consistent with the erasure procedure under GDPR Article 17 for applicable users and with Texas Data Privacy and Security Act (TDPSA), Bus. &amp; Com. Code Ch. 541, for Texas residents.</w:t>
      </w:r>
    </w:p>
    <w:p>
      <w:pPr>
        <w:keepNext/>
        <w:spacing w:after="160" w:before="360"/>
      </w:pPr>
      <w:r>
        <w:rPr>
          <w:rFonts w:ascii="Arial" w:cs="Arial" w:eastAsia="Arial" w:hAnsi="Arial"/>
          <w:b/>
          <w:bCs/>
          <w:color w:val="561217"/>
          <w:sz w:val="26"/>
          <w:szCs w:val="26"/>
        </w:rPr>
        <w:t xml:space="preserve">6. User Data Deletion Rights</w:t>
      </w:r>
    </w:p>
    <w:p>
      <w:pPr>
        <w:spacing w:after="120" w:before="60" w:line="320"/>
        <w:jc w:val="both"/>
      </w:pPr>
      <w:r>
        <w:rPr>
          <w:rFonts w:ascii="Arial" w:cs="Arial" w:eastAsia="Arial" w:hAnsi="Arial"/>
          <w:color w:val="1F1E1E"/>
          <w:sz w:val="22"/>
          <w:szCs w:val="22"/>
        </w:rPr>
        <w:t xml:space="preserve">Users have the right to:</w:t>
      </w:r>
    </w:p>
    <w:p>
      <w:pPr>
        <w:pStyle w:val="ListParagraph"/>
        <w:numPr>
          <w:ilvl w:val="0"/>
          <w:numId w:val="2"/>
        </w:numPr>
        <w:spacing w:after="40" w:before="40" w:line="300"/>
      </w:pPr>
      <w:r>
        <w:rPr>
          <w:rFonts w:ascii="Arial" w:cs="Arial" w:eastAsia="Arial" w:hAnsi="Arial"/>
          <w:color w:val="1F1E1E"/>
          <w:sz w:val="22"/>
          <w:szCs w:val="22"/>
        </w:rPr>
        <w:t xml:space="preserve">Request deletion of their household safety profile at any time</w:t>
      </w:r>
    </w:p>
    <w:p>
      <w:pPr>
        <w:pStyle w:val="ListParagraph"/>
        <w:numPr>
          <w:ilvl w:val="0"/>
          <w:numId w:val="2"/>
        </w:numPr>
        <w:spacing w:after="40" w:before="40" w:line="300"/>
      </w:pPr>
      <w:r>
        <w:rPr>
          <w:rFonts w:ascii="Arial" w:cs="Arial" w:eastAsia="Arial" w:hAnsi="Arial"/>
          <w:color w:val="1F1E1E"/>
          <w:sz w:val="22"/>
          <w:szCs w:val="22"/>
        </w:rPr>
        <w:t xml:space="preserve">Delete their user account, triggering automatic profile deletion</w:t>
      </w:r>
    </w:p>
    <w:p>
      <w:pPr>
        <w:pStyle w:val="ListParagraph"/>
        <w:numPr>
          <w:ilvl w:val="0"/>
          <w:numId w:val="2"/>
        </w:numPr>
        <w:spacing w:after="40" w:before="40" w:line="300"/>
      </w:pPr>
      <w:r>
        <w:rPr>
          <w:rFonts w:ascii="Arial" w:cs="Arial" w:eastAsia="Arial" w:hAnsi="Arial"/>
          <w:color w:val="1F1E1E"/>
          <w:sz w:val="22"/>
          <w:szCs w:val="22"/>
        </w:rPr>
        <w:t xml:space="preserve">Request confirmation of deletion</w:t>
      </w:r>
    </w:p>
    <w:p>
      <w:pPr>
        <w:spacing w:after="120" w:before="60" w:line="320"/>
        <w:jc w:val="both"/>
      </w:pPr>
      <w:r>
        <w:rPr>
          <w:rFonts w:ascii="Arial" w:cs="Arial" w:eastAsia="Arial" w:hAnsi="Arial"/>
          <w:color w:val="1F1E1E"/>
          <w:sz w:val="22"/>
          <w:szCs w:val="22"/>
        </w:rPr>
        <w:t xml:space="preserve">Deletion requests are processed within seven (7) business days for confirmation and within thirty (30) days for primary-system purge (consistent with § 5). Identity is verified using methods proportionate to the sensitivity of the data, consistent with Policy No. 15 procedures.</w:t>
      </w:r>
    </w:p>
    <w:p>
      <w:pPr>
        <w:keepNext/>
        <w:spacing w:after="160" w:before="360"/>
      </w:pPr>
      <w:r>
        <w:rPr>
          <w:rFonts w:ascii="Arial" w:cs="Arial" w:eastAsia="Arial" w:hAnsi="Arial"/>
          <w:b/>
          <w:bCs/>
          <w:color w:val="561217"/>
          <w:sz w:val="26"/>
          <w:szCs w:val="26"/>
        </w:rPr>
        <w:t xml:space="preserve">7. How Safety Profiles Influence Recommendations</w:t>
      </w:r>
    </w:p>
    <w:p>
      <w:pPr>
        <w:spacing w:after="120" w:before="60" w:line="320"/>
        <w:jc w:val="both"/>
      </w:pPr>
      <w:r>
        <w:rPr>
          <w:rFonts w:ascii="Arial" w:cs="Arial" w:eastAsia="Arial" w:hAnsi="Arial"/>
          <w:color w:val="1F1E1E"/>
          <w:sz w:val="22"/>
          <w:szCs w:val="22"/>
        </w:rPr>
        <w:t xml:space="preserve">The Holon Foundation uses household safety profiles to customize plant recommendations:</w:t>
      </w:r>
    </w:p>
    <w:p>
      <w:pPr>
        <w:pStyle w:val="ListParagraph"/>
        <w:numPr>
          <w:ilvl w:val="0"/>
          <w:numId w:val="2"/>
        </w:numPr>
        <w:spacing w:after="40" w:before="40" w:line="300"/>
      </w:pPr>
      <w:r>
        <w:rPr>
          <w:rFonts w:ascii="Arial" w:cs="Arial" w:eastAsia="Arial" w:hAnsi="Arial"/>
          <w:color w:val="1F1E1E"/>
          <w:sz w:val="22"/>
          <w:szCs w:val="22"/>
        </w:rPr>
        <w:t xml:space="preserve">Users with age range 0–5 receive plant lists excluding toxic plants for young children</w:t>
      </w:r>
    </w:p>
    <w:p>
      <w:pPr>
        <w:pStyle w:val="ListParagraph"/>
        <w:numPr>
          <w:ilvl w:val="0"/>
          <w:numId w:val="2"/>
        </w:numPr>
        <w:spacing w:after="40" w:before="40" w:line="300"/>
      </w:pPr>
      <w:r>
        <w:rPr>
          <w:rFonts w:ascii="Arial" w:cs="Arial" w:eastAsia="Arial" w:hAnsi="Arial"/>
          <w:color w:val="1F1E1E"/>
          <w:sz w:val="22"/>
          <w:szCs w:val="22"/>
        </w:rPr>
        <w:t xml:space="preserve">Users with pets receive plant lists excluding toxic plants for common household pets</w:t>
      </w:r>
    </w:p>
    <w:p>
      <w:pPr>
        <w:pStyle w:val="ListParagraph"/>
        <w:numPr>
          <w:ilvl w:val="0"/>
          <w:numId w:val="2"/>
        </w:numPr>
        <w:spacing w:after="40" w:before="40" w:line="300"/>
      </w:pPr>
      <w:r>
        <w:rPr>
          <w:rFonts w:ascii="Arial" w:cs="Arial" w:eastAsia="Arial" w:hAnsi="Arial"/>
          <w:color w:val="1F1E1E"/>
          <w:sz w:val="22"/>
          <w:szCs w:val="22"/>
        </w:rPr>
        <w:t xml:space="preserve">Users in high heat areas (by zip code) receive guidance on heat-tolerant plants</w:t>
      </w:r>
    </w:p>
    <w:p>
      <w:pPr>
        <w:pStyle w:val="ListParagraph"/>
        <w:numPr>
          <w:ilvl w:val="0"/>
          <w:numId w:val="2"/>
        </w:numPr>
        <w:spacing w:after="40" w:before="40" w:line="300"/>
      </w:pPr>
      <w:r>
        <w:rPr>
          <w:rFonts w:ascii="Arial" w:cs="Arial" w:eastAsia="Arial" w:hAnsi="Arial"/>
          <w:color w:val="1F1E1E"/>
          <w:sz w:val="22"/>
          <w:szCs w:val="22"/>
        </w:rPr>
        <w:t xml:space="preserve">Users in cold climates receive guidance on cold-hardy plants</w:t>
      </w:r>
    </w:p>
    <w:p>
      <w:pPr>
        <w:spacing w:after="120" w:before="60" w:line="320"/>
        <w:jc w:val="both"/>
      </w:pPr>
      <w:r>
        <w:rPr>
          <w:rFonts w:ascii="Arial" w:cs="Arial" w:eastAsia="Arial" w:hAnsi="Arial"/>
          <w:color w:val="1F1E1E"/>
          <w:sz w:val="22"/>
          <w:szCs w:val="22"/>
        </w:rPr>
        <w:t xml:space="preserve">These recommendations are advisory and not a substitute for guardian supervision, veterinary consultation, or professional horticultural guidance, consistent with Policies No. 30 (Pet Safety), No. 31 (Child Safety), and No. 32 (Youth Engagement).</w:t>
      </w:r>
    </w:p>
    <w:p>
      <w:pPr>
        <w:keepNext/>
        <w:spacing w:after="160" w:before="360"/>
      </w:pPr>
      <w:r>
        <w:rPr>
          <w:rFonts w:ascii="Arial" w:cs="Arial" w:eastAsia="Arial" w:hAnsi="Arial"/>
          <w:b/>
          <w:bCs/>
          <w:color w:val="561217"/>
          <w:sz w:val="26"/>
          <w:szCs w:val="26"/>
        </w:rPr>
        <w:t xml:space="preserve">8. Data Security Measures</w:t>
      </w:r>
    </w:p>
    <w:p>
      <w:pPr>
        <w:spacing w:after="120" w:before="60" w:line="320"/>
        <w:jc w:val="both"/>
      </w:pPr>
      <w:r>
        <w:rPr>
          <w:rFonts w:ascii="Arial" w:cs="Arial" w:eastAsia="Arial" w:hAnsi="Arial"/>
          <w:color w:val="1F1E1E"/>
          <w:sz w:val="22"/>
          <w:szCs w:val="22"/>
        </w:rPr>
        <w:t xml:space="preserve">Household safety profiles are protected by:</w:t>
      </w:r>
    </w:p>
    <w:p>
      <w:pPr>
        <w:pStyle w:val="ListParagraph"/>
        <w:numPr>
          <w:ilvl w:val="0"/>
          <w:numId w:val="2"/>
        </w:numPr>
        <w:spacing w:after="40" w:before="40" w:line="300"/>
      </w:pPr>
      <w:r>
        <w:rPr>
          <w:rFonts w:ascii="Arial" w:cs="Arial" w:eastAsia="Arial" w:hAnsi="Arial"/>
          <w:color w:val="1F1E1E"/>
          <w:sz w:val="22"/>
          <w:szCs w:val="22"/>
        </w:rPr>
        <w:t xml:space="preserve">Encryption of data in transit (TLS 1.2+) and at rest (AES-256 or equivalent)</w:t>
      </w:r>
    </w:p>
    <w:p>
      <w:pPr>
        <w:pStyle w:val="ListParagraph"/>
        <w:numPr>
          <w:ilvl w:val="0"/>
          <w:numId w:val="2"/>
        </w:numPr>
        <w:spacing w:after="40" w:before="40" w:line="300"/>
      </w:pPr>
      <w:r>
        <w:rPr>
          <w:rFonts w:ascii="Arial" w:cs="Arial" w:eastAsia="Arial" w:hAnsi="Arial"/>
          <w:color w:val="1F1E1E"/>
          <w:sz w:val="22"/>
          <w:szCs w:val="22"/>
        </w:rPr>
        <w:t xml:space="preserve">Access controls limiting staff access to authorized personnel under role-based access control (Policy No. 15)</w:t>
      </w:r>
    </w:p>
    <w:p>
      <w:pPr>
        <w:pStyle w:val="ListParagraph"/>
        <w:numPr>
          <w:ilvl w:val="0"/>
          <w:numId w:val="2"/>
        </w:numPr>
        <w:spacing w:after="40" w:before="40" w:line="300"/>
      </w:pPr>
      <w:r>
        <w:rPr>
          <w:rFonts w:ascii="Arial" w:cs="Arial" w:eastAsia="Arial" w:hAnsi="Arial"/>
          <w:color w:val="1F1E1E"/>
          <w:sz w:val="22"/>
          <w:szCs w:val="22"/>
        </w:rPr>
        <w:t xml:space="preserve">Regular security audits and penetration testing</w:t>
      </w:r>
    </w:p>
    <w:p>
      <w:pPr>
        <w:pStyle w:val="ListParagraph"/>
        <w:numPr>
          <w:ilvl w:val="0"/>
          <w:numId w:val="2"/>
        </w:numPr>
        <w:spacing w:after="40" w:before="40" w:line="300"/>
      </w:pPr>
      <w:r>
        <w:rPr>
          <w:rFonts w:ascii="Arial" w:cs="Arial" w:eastAsia="Arial" w:hAnsi="Arial"/>
          <w:color w:val="1F1E1E"/>
          <w:sz w:val="22"/>
          <w:szCs w:val="22"/>
        </w:rPr>
        <w:t xml:space="preserve">Incident response procedures for data breaches (Policy No. 15 § Breach Response; Policy No. 33 Incident Reporting)</w:t>
      </w:r>
    </w:p>
    <w:p>
      <w:pPr>
        <w:keepNext/>
        <w:spacing w:after="160" w:before="360"/>
      </w:pPr>
      <w:r>
        <w:rPr>
          <w:rFonts w:ascii="Arial" w:cs="Arial" w:eastAsia="Arial" w:hAnsi="Arial"/>
          <w:b/>
          <w:bCs/>
          <w:color w:val="561217"/>
          <w:sz w:val="26"/>
          <w:szCs w:val="26"/>
        </w:rPr>
        <w:t xml:space="preserve">9. Third-Party Sharing</w:t>
      </w:r>
    </w:p>
    <w:p>
      <w:pPr>
        <w:spacing w:after="120" w:before="60" w:line="320"/>
        <w:jc w:val="both"/>
      </w:pPr>
      <w:r>
        <w:rPr>
          <w:rFonts w:ascii="Arial" w:cs="Arial" w:eastAsia="Arial" w:hAnsi="Arial"/>
          <w:color w:val="1F1E1E"/>
          <w:sz w:val="22"/>
          <w:szCs w:val="22"/>
        </w:rPr>
        <w:t xml:space="preserve">The Foundation does NOT share household safety profiles with third parties for marketing or advertising. Limited sharing occurs only with service providers performing functions on the Foundation's behalf under written data-processing agreements compliant with GDPR Article 28. The current list of service providers (sub-processors) is published at </w:t>
      </w:r>
      <w:r>
        <w:rPr>
          <w:rFonts w:ascii="Arial" w:cs="Arial" w:eastAsia="Arial" w:hAnsi="Arial"/>
          <w:b/>
          <w:bCs/>
          <w:color w:val="1F1E1E"/>
          <w:sz w:val="22"/>
          <w:szCs w:val="22"/>
        </w:rPr>
        <w:t xml:space="preserve">holonfoundation.org/sub-processors</w:t>
      </w:r>
      <w:r>
        <w:rPr>
          <w:rFonts w:ascii="Arial" w:cs="Arial" w:eastAsia="Arial" w:hAnsi="Arial"/>
          <w:color w:val="1F1E1E"/>
          <w:sz w:val="22"/>
          <w:szCs w:val="22"/>
        </w:rPr>
        <w:t xml:space="preserve"> and is updated as relationships change.</w:t>
      </w:r>
    </w:p>
    <w:p>
      <w:pPr>
        <w:spacing w:after="120" w:before="60" w:line="320"/>
        <w:jc w:val="both"/>
      </w:pPr>
      <w:r>
        <w:rPr>
          <w:rFonts w:ascii="Arial" w:cs="Arial" w:eastAsia="Arial" w:hAnsi="Arial"/>
          <w:color w:val="1F1E1E"/>
          <w:sz w:val="22"/>
          <w:szCs w:val="22"/>
        </w:rPr>
        <w:t xml:space="preserve">Additional exceptions:</w:t>
      </w:r>
    </w:p>
    <w:p>
      <w:pPr>
        <w:spacing w:after="120" w:before="60" w:line="320"/>
        <w:jc w:val="both"/>
      </w:pPr>
      <w:r>
        <w:rPr>
          <w:rFonts w:ascii="Arial" w:cs="Arial" w:eastAsia="Arial" w:hAnsi="Arial"/>
          <w:color w:val="1F1E1E"/>
          <w:sz w:val="22"/>
          <w:szCs w:val="22"/>
        </w:rPr>
        <w:t xml:space="preserve">(a) aggregated, anonymized data shared with research institutions per § 5;</w:t>
      </w:r>
    </w:p>
    <w:p>
      <w:pPr>
        <w:spacing w:after="120" w:before="60" w:line="320"/>
        <w:jc w:val="both"/>
      </w:pPr>
      <w:r>
        <w:rPr>
          <w:rFonts w:ascii="Arial" w:cs="Arial" w:eastAsia="Arial" w:hAnsi="Arial"/>
          <w:color w:val="1F1E1E"/>
          <w:sz w:val="22"/>
          <w:szCs w:val="22"/>
        </w:rPr>
        <w:t xml:space="preserve">(b) legally required disclosures (subpoena, court order, lawful government request); and</w:t>
      </w:r>
    </w:p>
    <w:p>
      <w:pPr>
        <w:spacing w:after="120" w:before="60" w:line="320"/>
        <w:jc w:val="both"/>
      </w:pPr>
      <w:r>
        <w:rPr>
          <w:rFonts w:ascii="Arial" w:cs="Arial" w:eastAsia="Arial" w:hAnsi="Arial"/>
          <w:color w:val="1F1E1E"/>
          <w:sz w:val="22"/>
          <w:szCs w:val="22"/>
        </w:rPr>
        <w:t xml:space="preserve">(c) disclosures protecting vital interests of the data subject or another person.</w:t>
      </w:r>
    </w:p>
    <w:p>
      <w:pPr>
        <w:keepNext/>
        <w:spacing w:after="160" w:before="360"/>
      </w:pPr>
      <w:r>
        <w:rPr>
          <w:rFonts w:ascii="Arial" w:cs="Arial" w:eastAsia="Arial" w:hAnsi="Arial"/>
          <w:b/>
          <w:bCs/>
          <w:color w:val="561217"/>
          <w:sz w:val="26"/>
          <w:szCs w:val="26"/>
        </w:rPr>
        <w:t xml:space="preserve">10. User Rights Under Privacy Laws</w:t>
      </w:r>
    </w:p>
    <w:p>
      <w:pPr>
        <w:spacing w:after="120" w:before="60" w:line="320"/>
        <w:jc w:val="both"/>
      </w:pPr>
      <w:r>
        <w:rPr>
          <w:rFonts w:ascii="Arial" w:cs="Arial" w:eastAsia="Arial" w:hAnsi="Arial"/>
          <w:color w:val="1F1E1E"/>
          <w:sz w:val="22"/>
          <w:szCs w:val="22"/>
        </w:rPr>
        <w:t xml:space="preserve">Users with household safety profiles have the following rights, exercised in accordance with the procedures detailed in Holon Foundation Policy No. 15 (Data Privacy and Security):</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Right to Access</w:t>
      </w:r>
      <w:r>
        <w:rPr>
          <w:rFonts w:ascii="Arial" w:cs="Arial" w:eastAsia="Arial" w:hAnsi="Arial"/>
          <w:color w:val="1F1E1E"/>
          <w:sz w:val="22"/>
          <w:szCs w:val="22"/>
        </w:rPr>
        <w:t xml:space="preserve"> (GDPR Article 15; TDPSA Bus. &amp; Com. Code § 541.052(a)(1); CCPA § 1798.100): receive a copy of profile data.</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Right to Correction</w:t>
      </w:r>
      <w:r>
        <w:rPr>
          <w:rFonts w:ascii="Arial" w:cs="Arial" w:eastAsia="Arial" w:hAnsi="Arial"/>
          <w:color w:val="1F1E1E"/>
          <w:sz w:val="22"/>
          <w:szCs w:val="22"/>
        </w:rPr>
        <w:t xml:space="preserve"> (GDPR Article 16; TDPSA § 541.052(a)(3); CCPA § 1798.106): correct inaccurate data.</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Right to Erasure</w:t>
      </w:r>
      <w:r>
        <w:rPr>
          <w:rFonts w:ascii="Arial" w:cs="Arial" w:eastAsia="Arial" w:hAnsi="Arial"/>
          <w:color w:val="1F1E1E"/>
          <w:sz w:val="22"/>
          <w:szCs w:val="22"/>
        </w:rPr>
        <w:t xml:space="preserve"> (GDPR Article 17; TDPSA § 541.052(a)(2); CCPA § 1798.105): request deletion (see § 6).</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Right to Data Portability</w:t>
      </w:r>
      <w:r>
        <w:rPr>
          <w:rFonts w:ascii="Arial" w:cs="Arial" w:eastAsia="Arial" w:hAnsi="Arial"/>
          <w:color w:val="1F1E1E"/>
          <w:sz w:val="22"/>
          <w:szCs w:val="22"/>
        </w:rPr>
        <w:t xml:space="preserve"> (GDPR Article 20; TDPSA § 541.052(a)(4); CCPA § 1798.130): receive data in commonly used machine-readable format.</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Right to Object</w:t>
      </w:r>
      <w:r>
        <w:rPr>
          <w:rFonts w:ascii="Arial" w:cs="Arial" w:eastAsia="Arial" w:hAnsi="Arial"/>
          <w:color w:val="1F1E1E"/>
          <w:sz w:val="22"/>
          <w:szCs w:val="22"/>
        </w:rPr>
        <w:t xml:space="preserve"> to processing including profiling (GDPR Article 21); the Foundation does not engage in automated decision-making producing legal or similarly significant effects (GDPR Article 22).</w:t>
      </w:r>
    </w:p>
    <w:p>
      <w:pPr>
        <w:spacing w:after="120" w:before="60" w:line="320"/>
        <w:jc w:val="both"/>
      </w:pPr>
      <w:r>
        <w:rPr>
          <w:rFonts w:ascii="Arial" w:cs="Arial" w:eastAsia="Arial" w:hAnsi="Arial"/>
          <w:color w:val="1F1E1E"/>
          <w:sz w:val="22"/>
          <w:szCs w:val="22"/>
        </w:rPr>
        <w:t xml:space="preserve">(f) </w:t>
      </w:r>
      <w:r>
        <w:rPr>
          <w:rFonts w:ascii="Arial" w:cs="Arial" w:eastAsia="Arial" w:hAnsi="Arial"/>
          <w:b/>
          <w:bCs/>
          <w:color w:val="1F1E1E"/>
          <w:sz w:val="22"/>
          <w:szCs w:val="22"/>
        </w:rPr>
        <w:t xml:space="preserve">Right to Lodge a Complaint</w:t>
      </w:r>
      <w:r>
        <w:rPr>
          <w:rFonts w:ascii="Arial" w:cs="Arial" w:eastAsia="Arial" w:hAnsi="Arial"/>
          <w:color w:val="1F1E1E"/>
          <w:sz w:val="22"/>
          <w:szCs w:val="22"/>
        </w:rPr>
        <w:t xml:space="preserve"> with a supervisory authority (GDPR Article 77), the Texas Attorney General (TDPSA enforcement, Bus. &amp; Com. Code § 541.155), or the California Privacy Protection Agency (CCPA enforcement).</w:t>
      </w:r>
    </w:p>
    <w:p>
      <w:pPr>
        <w:spacing w:after="120" w:before="60" w:line="320"/>
        <w:jc w:val="both"/>
      </w:pPr>
      <w:r>
        <w:rPr>
          <w:rFonts w:ascii="Arial" w:cs="Arial" w:eastAsia="Arial" w:hAnsi="Arial"/>
          <w:color w:val="1F1E1E"/>
          <w:sz w:val="22"/>
          <w:szCs w:val="22"/>
        </w:rPr>
        <w:t xml:space="preserve">The Foundation responds substantively to verified requests within thirty (30) days, extendable by up to two (2) additional months for complex requests with notice to the user. There is no fee for the first or second request in any twelve (12) month period; subsequent requests within that period may incur a reasonable administrative fee or be refused if manifestly unfounded or excessive. Requests may be submitted to privacy@holonfoundation.org or through the in-app data-rights center.</w:t>
      </w:r>
    </w:p>
    <w:p>
      <w:pPr>
        <w:keepNext/>
        <w:spacing w:after="160" w:before="360"/>
      </w:pPr>
      <w:r>
        <w:rPr>
          <w:rFonts w:ascii="Arial" w:cs="Arial" w:eastAsia="Arial" w:hAnsi="Arial"/>
          <w:b/>
          <w:bCs/>
          <w:color w:val="561217"/>
          <w:sz w:val="26"/>
          <w:szCs w:val="26"/>
        </w:rPr>
        <w:t xml:space="preserve">11. Contact for Privacy Inquiries</w:t>
      </w:r>
    </w:p>
    <w:p>
      <w:pPr>
        <w:spacing w:after="120" w:before="60" w:line="320"/>
        <w:jc w:val="both"/>
      </w:pPr>
      <w:r>
        <w:rPr>
          <w:rFonts w:ascii="Arial" w:cs="Arial" w:eastAsia="Arial" w:hAnsi="Arial"/>
          <w:color w:val="1F1E1E"/>
          <w:sz w:val="22"/>
          <w:szCs w:val="22"/>
        </w:rPr>
        <w:t xml:space="preserve">Users with questions or concerns about household safety profiles should contact:</w:t>
      </w:r>
    </w:p>
    <w:p>
      <w:pPr>
        <w:spacing w:after="120" w:before="60" w:line="320"/>
        <w:jc w:val="both"/>
      </w:pPr>
      <w:r>
        <w:rPr>
          <w:rFonts w:ascii="Arial" w:cs="Arial" w:eastAsia="Arial" w:hAnsi="Arial"/>
          <w:color w:val="1F1E1E"/>
          <w:sz w:val="22"/>
          <w:szCs w:val="22"/>
        </w:rPr>
        <w:t xml:space="preserve">Holon Foundation   Houston, Texas 77005   privacy@holonfoundation.org</w:t>
      </w:r>
    </w:p>
    <w:p>
      <w:pPr>
        <w:keepNext/>
        <w:spacing w:after="160" w:before="360"/>
      </w:pPr>
      <w:r>
        <w:rPr>
          <w:rFonts w:ascii="Arial" w:cs="Arial" w:eastAsia="Arial" w:hAnsi="Arial"/>
          <w:b/>
          <w:bCs/>
          <w:color w:val="561217"/>
          <w:sz w:val="26"/>
          <w:szCs w:val="26"/>
        </w:rPr>
        <w:t xml:space="preserve">Unified Electronic Acknowledgement</w:t>
      </w:r>
    </w:p>
    <w:p>
      <w:pPr>
        <w:spacing w:after="120" w:before="60" w:line="320"/>
        <w:jc w:val="both"/>
      </w:pPr>
      <w:r>
        <w:rPr>
          <w:rFonts w:ascii="Arial" w:cs="Arial" w:eastAsia="Arial" w:hAnsi="Arial"/>
          <w:color w:val="1F1E1E"/>
          <w:sz w:val="22"/>
          <w:szCs w:val="22"/>
        </w:rPr>
        <w:t xml:space="preserve">Users acknowledge and accept this Policy by completing the consolidated electronic </w:t>
      </w:r>
      <w:r>
        <w:rPr>
          <w:rFonts w:ascii="Arial" w:cs="Arial" w:eastAsia="Arial" w:hAnsi="Arial"/>
          <w:b/>
          <w:bCs/>
          <w:color w:val="1F1E1E"/>
          <w:sz w:val="22"/>
          <w:szCs w:val="22"/>
        </w:rPr>
        <w:t xml:space="preserve">Privacy &amp; Safety Acknowledgment</w:t>
      </w:r>
      <w:r>
        <w:rPr>
          <w:rFonts w:ascii="Arial" w:cs="Arial" w:eastAsia="Arial" w:hAnsi="Arial"/>
          <w:color w:val="1F1E1E"/>
          <w:sz w:val="22"/>
          <w:szCs w:val="22"/>
        </w:rPr>
        <w:t xml:space="preserve"> at registration, covering this Policy and Holon Foundation Policies No. 15 (Data Privacy and Security), No. 30 (Pet Safety), No. 31 (Child Safety), No. 32 (Youth Engagement), and No. 33 (Incident Reporting). The electronic acknowledgment is captured under the </w:t>
      </w:r>
      <w:r>
        <w:rPr>
          <w:rFonts w:ascii="Arial" w:cs="Arial" w:eastAsia="Arial" w:hAnsi="Arial"/>
          <w:b/>
          <w:bCs/>
          <w:color w:val="1F1E1E"/>
          <w:sz w:val="22"/>
          <w:szCs w:val="22"/>
        </w:rPr>
        <w:t xml:space="preserve">Texas Uniform Electronic Transactions Act</w:t>
      </w:r>
      <w:r>
        <w:rPr>
          <w:rFonts w:ascii="Arial" w:cs="Arial" w:eastAsia="Arial" w:hAnsi="Arial"/>
          <w:color w:val="1F1E1E"/>
          <w:sz w:val="22"/>
          <w:szCs w:val="22"/>
        </w:rPr>
        <w:t xml:space="preserve"> (Bus. &amp; Com. Code § 322) and the federal </w:t>
      </w:r>
      <w:r>
        <w:rPr>
          <w:rFonts w:ascii="Arial" w:cs="Arial" w:eastAsia="Arial" w:hAnsi="Arial"/>
          <w:b/>
          <w:bCs/>
          <w:color w:val="1F1E1E"/>
          <w:sz w:val="22"/>
          <w:szCs w:val="22"/>
        </w:rPr>
        <w:t xml:space="preserve">E-SIGN Act</w:t>
      </w:r>
      <w:r>
        <w:rPr>
          <w:rFonts w:ascii="Arial" w:cs="Arial" w:eastAsia="Arial" w:hAnsi="Arial"/>
          <w:color w:val="1F1E1E"/>
          <w:sz w:val="22"/>
          <w:szCs w:val="22"/>
        </w:rPr>
        <w:t xml:space="preserve"> (15 U.S.C. § 7001), and retained per Holon Foundation Policy No. 06 (Document Retention and Destruction Policy).</w:t>
      </w:r>
    </w:p>
    <w:p>
      <w:pPr>
        <w:spacing w:after="120" w:before="60" w:line="320"/>
        <w:jc w:val="both"/>
      </w:pPr>
      <w:r>
        <w:rPr>
          <w:rFonts w:ascii="Arial" w:cs="Arial" w:eastAsia="Arial" w:hAnsi="Arial"/>
          <w:color w:val="1F1E1E"/>
          <w:sz w:val="22"/>
          <w:szCs w:val="22"/>
        </w:rPr>
        <w:t xml:space="preserve">A user may withdraw acknowledgment by closing the user account, which triggers the deletion procedure described in §§ 5–6.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Electronic Acknowledgment ID</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[Generated at registration]</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 and Time (UTC)</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[Captured automatically]</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Account Reference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[Captured automatically]</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34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34  ·  HOUSEHOLD SAFETY PROFILE DATA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Safety Profile Data Policy</dc:title>
  <dc:creator>Holon Foundation</dc:creator>
  <dc:description>Holon Foundation — Policy No. 34</dc:description>
  <cp:lastModifiedBy>Un-named</cp:lastModifiedBy>
  <cp:revision>1</cp:revision>
  <dcterms:created xsi:type="dcterms:W3CDTF">2026-05-21T02:41:43.514Z</dcterms:created>
  <dcterms:modified xsi:type="dcterms:W3CDTF">2026-05-21T02:41:43.514Z</dcterms:modified>
</cp:coreProperties>
</file>

<file path=docProps/custom.xml><?xml version="1.0" encoding="utf-8"?>
<Properties xmlns="http://schemas.openxmlformats.org/officeDocument/2006/custom-properties" xmlns:vt="http://schemas.openxmlformats.org/officeDocument/2006/docPropsVTypes"/>
</file>