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33</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Safety Incident Reporting Policy</w:t>
      </w:r>
    </w:p>
    <w:p>
      <w:pPr>
        <w:spacing w:after="0" w:before="0"/>
        <w:jc w:val="center"/>
      </w:pPr>
      <w:r>
        <w:rPr>
          <w:rFonts w:ascii="Arial" w:cs="Arial" w:eastAsia="Arial" w:hAnsi="Arial"/>
          <w:i/>
          <w:iCs/>
          <w:color w:val="4A4A4A"/>
          <w:sz w:val="20"/>
          <w:szCs w:val="20"/>
        </w:rPr>
        <w:t xml:space="preserve">Holon Foundation — Policy No. 33</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Replaced inapplicable FDA 21 CFR Part 11 citation with the correct frameworks: Texas UETA (Bus. &amp; Com. Code § 322), federal E-SIGN, AICPA SOC 2 Type II, and Texas Rules of Evidence Rule 902(10).</w:t>
      </w:r>
    </w:p>
    <w:p>
      <w:pPr>
        <w:pStyle w:val="ListParagraph"/>
        <w:numPr>
          <w:ilvl w:val="0"/>
          <w:numId w:val="2"/>
        </w:numPr>
        <w:spacing w:after="40" w:before="40" w:line="300"/>
      </w:pPr>
      <w:r>
        <w:rPr>
          <w:rFonts w:ascii="Arial" w:cs="Arial" w:eastAsia="Arial" w:hAnsi="Arial"/>
          <w:color w:val="1F1E1E"/>
          <w:sz w:val="22"/>
          <w:szCs w:val="22"/>
        </w:rPr>
        <w:t xml:space="preserve">Added Mandatory External Reporting — Concurrent Duties section invoking Texas Family Code § 261 (child abuse), Texas Human Resources Code § 48.051 (elder/disabled), OSHA 29 C.F.R. § 1904.39 (employee injury), and Policy No. 15 (data breach).</w:t>
      </w:r>
    </w:p>
    <w:p>
      <w:pPr>
        <w:pStyle w:val="ListParagraph"/>
        <w:numPr>
          <w:ilvl w:val="0"/>
          <w:numId w:val="2"/>
        </w:numPr>
        <w:spacing w:after="40" w:before="40" w:line="300"/>
      </w:pPr>
      <w:r>
        <w:rPr>
          <w:rFonts w:ascii="Arial" w:cs="Arial" w:eastAsia="Arial" w:hAnsi="Arial"/>
          <w:color w:val="1F1E1E"/>
          <w:sz w:val="22"/>
          <w:szCs w:val="22"/>
        </w:rPr>
        <w:t xml:space="preserve">Adopted HIPAA Safe Harbor (45 C.F.R. § 164.514(b)) and k-anonymity (k≥5) as the de-identification standard for any aggregated incident-data sharing.</w:t>
      </w:r>
    </w:p>
    <w:p>
      <w:pPr>
        <w:pStyle w:val="ListParagraph"/>
        <w:numPr>
          <w:ilvl w:val="0"/>
          <w:numId w:val="2"/>
        </w:numPr>
        <w:spacing w:after="40" w:before="40" w:line="300"/>
      </w:pPr>
      <w:r>
        <w:rPr>
          <w:rFonts w:ascii="Arial" w:cs="Arial" w:eastAsia="Arial" w:hAnsi="Arial"/>
          <w:color w:val="1F1E1E"/>
          <w:sz w:val="22"/>
          <w:szCs w:val="22"/>
        </w:rPr>
        <w:t xml:space="preserve">Added Subject-of-Report Rights subsection (notice, response opportunity, final-determination review) consistent with Policy No. 21 due process.</w:t>
      </w:r>
    </w:p>
    <w:p>
      <w:pPr>
        <w:pStyle w:val="ListParagraph"/>
        <w:numPr>
          <w:ilvl w:val="0"/>
          <w:numId w:val="2"/>
        </w:numPr>
        <w:spacing w:after="40" w:before="40" w:line="300"/>
      </w:pPr>
      <w:r>
        <w:rPr>
          <w:rFonts w:ascii="Arial" w:cs="Arial" w:eastAsia="Arial" w:hAnsi="Arial"/>
          <w:color w:val="1F1E1E"/>
          <w:sz w:val="22"/>
          <w:szCs w:val="22"/>
        </w:rPr>
        <w:t xml:space="preserve">Harmonized retention with Policy No. 06 subcategories, including 30-year OSHA medical and minor-extended retention.</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1. Purpose</w:t>
      </w:r>
    </w:p>
    <w:p>
      <w:pPr>
        <w:spacing w:after="120" w:before="60" w:line="320"/>
        <w:jc w:val="both"/>
      </w:pPr>
      <w:r>
        <w:rPr>
          <w:rFonts w:ascii="Arial" w:cs="Arial" w:eastAsia="Arial" w:hAnsi="Arial"/>
          <w:color w:val="1F1E1E"/>
          <w:sz w:val="22"/>
          <w:szCs w:val="22"/>
        </w:rPr>
        <w:t xml:space="preserve">The Holon Foundation maintains a comprehensive incident reporting and documentation system to track plant-related incidents, near-misses, and safety concerns. This policy ensures proper documentation, data retention, audit compliance, and community transparency.</w:t>
      </w:r>
    </w:p>
    <w:p>
      <w:pPr>
        <w:keepNext/>
        <w:spacing w:after="160" w:before="360"/>
      </w:pPr>
      <w:r>
        <w:rPr>
          <w:rFonts w:ascii="Arial" w:cs="Arial" w:eastAsia="Arial" w:hAnsi="Arial"/>
          <w:b/>
          <w:bCs/>
          <w:color w:val="561217"/>
          <w:sz w:val="26"/>
          <w:szCs w:val="26"/>
        </w:rPr>
        <w:t xml:space="preserve">2. Definitions</w:t>
      </w:r>
    </w:p>
    <w:p>
      <w:pPr>
        <w:pStyle w:val="ListParagraph"/>
        <w:numPr>
          <w:ilvl w:val="0"/>
          <w:numId w:val="2"/>
        </w:numPr>
        <w:spacing w:after="40" w:before="40" w:line="300"/>
      </w:pPr>
      <w:r>
        <w:rPr>
          <w:rFonts w:ascii="Arial" w:cs="Arial" w:eastAsia="Arial" w:hAnsi="Arial"/>
          <w:b/>
          <w:bCs/>
          <w:color w:val="1F1E1E"/>
          <w:sz w:val="22"/>
          <w:szCs w:val="22"/>
        </w:rPr>
        <w:t xml:space="preserve">Incident.</w:t>
      </w:r>
      <w:r>
        <w:rPr>
          <w:rFonts w:ascii="Arial" w:cs="Arial" w:eastAsia="Arial" w:hAnsi="Arial"/>
          <w:color w:val="1F1E1E"/>
          <w:sz w:val="22"/>
          <w:szCs w:val="22"/>
        </w:rPr>
        <w:t xml:space="preserve"> Any event involving plant-related injury, poisoning, or health concern.</w:t>
      </w:r>
    </w:p>
    <w:p>
      <w:pPr>
        <w:pStyle w:val="ListParagraph"/>
        <w:numPr>
          <w:ilvl w:val="0"/>
          <w:numId w:val="2"/>
        </w:numPr>
        <w:spacing w:after="40" w:before="40" w:line="300"/>
      </w:pPr>
      <w:r>
        <w:rPr>
          <w:rFonts w:ascii="Arial" w:cs="Arial" w:eastAsia="Arial" w:hAnsi="Arial"/>
          <w:b/>
          <w:bCs/>
          <w:color w:val="1F1E1E"/>
          <w:sz w:val="22"/>
          <w:szCs w:val="22"/>
        </w:rPr>
        <w:t xml:space="preserve">Near-Miss.</w:t>
      </w:r>
      <w:r>
        <w:rPr>
          <w:rFonts w:ascii="Arial" w:cs="Arial" w:eastAsia="Arial" w:hAnsi="Arial"/>
          <w:color w:val="1F1E1E"/>
          <w:sz w:val="22"/>
          <w:szCs w:val="22"/>
        </w:rPr>
        <w:t xml:space="preserve"> An event that could have resulted in injury but did not.</w:t>
      </w:r>
    </w:p>
    <w:p>
      <w:pPr>
        <w:pStyle w:val="ListParagraph"/>
        <w:numPr>
          <w:ilvl w:val="0"/>
          <w:numId w:val="2"/>
        </w:numPr>
        <w:spacing w:after="40" w:before="40" w:line="300"/>
      </w:pPr>
      <w:r>
        <w:rPr>
          <w:rFonts w:ascii="Arial" w:cs="Arial" w:eastAsia="Arial" w:hAnsi="Arial"/>
          <w:b/>
          <w:bCs/>
          <w:color w:val="1F1E1E"/>
          <w:sz w:val="22"/>
          <w:szCs w:val="22"/>
        </w:rPr>
        <w:t xml:space="preserve">Audit Trail.</w:t>
      </w:r>
      <w:r>
        <w:rPr>
          <w:rFonts w:ascii="Arial" w:cs="Arial" w:eastAsia="Arial" w:hAnsi="Arial"/>
          <w:color w:val="1F1E1E"/>
          <w:sz w:val="22"/>
          <w:szCs w:val="22"/>
        </w:rPr>
        <w:t xml:space="preserve"> An immutable record of all system access, modifications, and data handling.</w:t>
      </w:r>
    </w:p>
    <w:p>
      <w:pPr>
        <w:pStyle w:val="ListParagraph"/>
        <w:numPr>
          <w:ilvl w:val="0"/>
          <w:numId w:val="2"/>
        </w:numPr>
        <w:spacing w:after="40" w:before="40" w:line="300"/>
      </w:pPr>
      <w:r>
        <w:rPr>
          <w:rFonts w:ascii="Arial" w:cs="Arial" w:eastAsia="Arial" w:hAnsi="Arial"/>
          <w:b/>
          <w:bCs/>
          <w:color w:val="1F1E1E"/>
          <w:sz w:val="22"/>
          <w:szCs w:val="22"/>
        </w:rPr>
        <w:t xml:space="preserve">Anonymized Incident.</w:t>
      </w:r>
      <w:r>
        <w:rPr>
          <w:rFonts w:ascii="Arial" w:cs="Arial" w:eastAsia="Arial" w:hAnsi="Arial"/>
          <w:color w:val="1F1E1E"/>
          <w:sz w:val="22"/>
          <w:szCs w:val="22"/>
        </w:rPr>
        <w:t xml:space="preserve"> An incident report with personally identifiable information removed.</w:t>
      </w:r>
    </w:p>
    <w:p>
      <w:pPr>
        <w:keepNext/>
        <w:spacing w:after="160" w:before="360"/>
      </w:pPr>
      <w:r>
        <w:rPr>
          <w:rFonts w:ascii="Arial" w:cs="Arial" w:eastAsia="Arial" w:hAnsi="Arial"/>
          <w:b/>
          <w:bCs/>
          <w:color w:val="561217"/>
          <w:sz w:val="26"/>
          <w:szCs w:val="26"/>
        </w:rPr>
        <w:t xml:space="preserve">3. Reporting Procedures</w:t>
      </w:r>
    </w:p>
    <w:p>
      <w:pPr>
        <w:spacing w:after="120" w:before="60" w:line="320"/>
        <w:jc w:val="both"/>
      </w:pPr>
      <w:r>
        <w:rPr>
          <w:rFonts w:ascii="Arial" w:cs="Arial" w:eastAsia="Arial" w:hAnsi="Arial"/>
          <w:color w:val="1F1E1E"/>
          <w:sz w:val="22"/>
          <w:szCs w:val="22"/>
        </w:rPr>
        <w:t xml:space="preserve">Incident reporting may occur through:</w:t>
      </w:r>
    </w:p>
    <w:p>
      <w:pPr>
        <w:pStyle w:val="ListParagraph"/>
        <w:numPr>
          <w:ilvl w:val="0"/>
          <w:numId w:val="2"/>
        </w:numPr>
        <w:spacing w:after="40" w:before="40" w:line="300"/>
      </w:pPr>
      <w:r>
        <w:rPr>
          <w:rFonts w:ascii="Arial" w:cs="Arial" w:eastAsia="Arial" w:hAnsi="Arial"/>
          <w:color w:val="1F1E1E"/>
          <w:sz w:val="22"/>
          <w:szCs w:val="22"/>
        </w:rPr>
        <w:t xml:space="preserve">In-person report to Holon Foundation staff</w:t>
      </w:r>
    </w:p>
    <w:p>
      <w:pPr>
        <w:pStyle w:val="ListParagraph"/>
        <w:numPr>
          <w:ilvl w:val="0"/>
          <w:numId w:val="2"/>
        </w:numPr>
        <w:spacing w:after="40" w:before="40" w:line="300"/>
      </w:pPr>
      <w:r>
        <w:rPr>
          <w:rFonts w:ascii="Arial" w:cs="Arial" w:eastAsia="Arial" w:hAnsi="Arial"/>
          <w:color w:val="1F1E1E"/>
          <w:sz w:val="22"/>
          <w:szCs w:val="22"/>
        </w:rPr>
        <w:t xml:space="preserve">Telephone report to the Holon Foundation main line</w:t>
      </w:r>
    </w:p>
    <w:p>
      <w:pPr>
        <w:pStyle w:val="ListParagraph"/>
        <w:numPr>
          <w:ilvl w:val="0"/>
          <w:numId w:val="2"/>
        </w:numPr>
        <w:spacing w:after="40" w:before="40" w:line="300"/>
      </w:pPr>
      <w:r>
        <w:rPr>
          <w:rFonts w:ascii="Arial" w:cs="Arial" w:eastAsia="Arial" w:hAnsi="Arial"/>
          <w:color w:val="1F1E1E"/>
          <w:sz w:val="22"/>
          <w:szCs w:val="22"/>
        </w:rPr>
        <w:t xml:space="preserve">Online incident report form on the platform</w:t>
      </w:r>
    </w:p>
    <w:p>
      <w:pPr>
        <w:pStyle w:val="ListParagraph"/>
        <w:numPr>
          <w:ilvl w:val="0"/>
          <w:numId w:val="2"/>
        </w:numPr>
        <w:spacing w:after="40" w:before="40" w:line="300"/>
      </w:pPr>
      <w:r>
        <w:rPr>
          <w:rFonts w:ascii="Arial" w:cs="Arial" w:eastAsia="Arial" w:hAnsi="Arial"/>
          <w:color w:val="1F1E1E"/>
          <w:sz w:val="22"/>
          <w:szCs w:val="22"/>
        </w:rPr>
        <w:t xml:space="preserve">Email report to safety@holonfoundation.org</w:t>
      </w:r>
    </w:p>
    <w:p>
      <w:pPr>
        <w:spacing w:after="120" w:before="60" w:line="320"/>
        <w:jc w:val="both"/>
      </w:pPr>
      <w:r>
        <w:rPr>
          <w:rFonts w:ascii="Arial" w:cs="Arial" w:eastAsia="Arial" w:hAnsi="Arial"/>
          <w:color w:val="1F1E1E"/>
          <w:sz w:val="22"/>
          <w:szCs w:val="22"/>
        </w:rPr>
        <w:t xml:space="preserve">All reports should include:</w:t>
      </w:r>
    </w:p>
    <w:p>
      <w:pPr>
        <w:pStyle w:val="ListParagraph"/>
        <w:numPr>
          <w:ilvl w:val="0"/>
          <w:numId w:val="2"/>
        </w:numPr>
        <w:spacing w:after="40" w:before="40" w:line="300"/>
      </w:pPr>
      <w:r>
        <w:rPr>
          <w:rFonts w:ascii="Arial" w:cs="Arial" w:eastAsia="Arial" w:hAnsi="Arial"/>
          <w:color w:val="1F1E1E"/>
          <w:sz w:val="22"/>
          <w:szCs w:val="22"/>
        </w:rPr>
        <w:t xml:space="preserve">Date and time of incident</w:t>
      </w:r>
    </w:p>
    <w:p>
      <w:pPr>
        <w:pStyle w:val="ListParagraph"/>
        <w:numPr>
          <w:ilvl w:val="0"/>
          <w:numId w:val="2"/>
        </w:numPr>
        <w:spacing w:after="40" w:before="40" w:line="300"/>
      </w:pPr>
      <w:r>
        <w:rPr>
          <w:rFonts w:ascii="Arial" w:cs="Arial" w:eastAsia="Arial" w:hAnsi="Arial"/>
          <w:color w:val="1F1E1E"/>
          <w:sz w:val="22"/>
          <w:szCs w:val="22"/>
        </w:rPr>
        <w:t xml:space="preserve">Location in garden</w:t>
      </w:r>
    </w:p>
    <w:p>
      <w:pPr>
        <w:pStyle w:val="ListParagraph"/>
        <w:numPr>
          <w:ilvl w:val="0"/>
          <w:numId w:val="2"/>
        </w:numPr>
        <w:spacing w:after="40" w:before="40" w:line="300"/>
      </w:pPr>
      <w:r>
        <w:rPr>
          <w:rFonts w:ascii="Arial" w:cs="Arial" w:eastAsia="Arial" w:hAnsi="Arial"/>
          <w:color w:val="1F1E1E"/>
          <w:sz w:val="22"/>
          <w:szCs w:val="22"/>
        </w:rPr>
        <w:t xml:space="preserve">Plant(s) involved (if applicable)</w:t>
      </w:r>
    </w:p>
    <w:p>
      <w:pPr>
        <w:pStyle w:val="ListParagraph"/>
        <w:numPr>
          <w:ilvl w:val="0"/>
          <w:numId w:val="2"/>
        </w:numPr>
        <w:spacing w:after="40" w:before="40" w:line="300"/>
      </w:pPr>
      <w:r>
        <w:rPr>
          <w:rFonts w:ascii="Arial" w:cs="Arial" w:eastAsia="Arial" w:hAnsi="Arial"/>
          <w:color w:val="1F1E1E"/>
          <w:sz w:val="22"/>
          <w:szCs w:val="22"/>
        </w:rPr>
        <w:t xml:space="preserve">Description of incident and any symptoms</w:t>
      </w:r>
    </w:p>
    <w:p>
      <w:pPr>
        <w:pStyle w:val="ListParagraph"/>
        <w:numPr>
          <w:ilvl w:val="0"/>
          <w:numId w:val="2"/>
        </w:numPr>
        <w:spacing w:after="40" w:before="40" w:line="300"/>
      </w:pPr>
      <w:r>
        <w:rPr>
          <w:rFonts w:ascii="Arial" w:cs="Arial" w:eastAsia="Arial" w:hAnsi="Arial"/>
          <w:color w:val="1F1E1E"/>
          <w:sz w:val="22"/>
          <w:szCs w:val="22"/>
        </w:rPr>
        <w:t xml:space="preserve">Actions taken (medical care sought, etc.)</w:t>
      </w:r>
    </w:p>
    <w:p>
      <w:pPr>
        <w:pStyle w:val="ListParagraph"/>
        <w:numPr>
          <w:ilvl w:val="0"/>
          <w:numId w:val="2"/>
        </w:numPr>
        <w:spacing w:after="40" w:before="40" w:line="300"/>
      </w:pPr>
      <w:r>
        <w:rPr>
          <w:rFonts w:ascii="Arial" w:cs="Arial" w:eastAsia="Arial" w:hAnsi="Arial"/>
          <w:color w:val="1F1E1E"/>
          <w:sz w:val="22"/>
          <w:szCs w:val="22"/>
        </w:rPr>
        <w:t xml:space="preserve">Contact information (optional for anonymous reports)</w:t>
      </w:r>
    </w:p>
    <w:p>
      <w:pPr>
        <w:keepNext/>
        <w:spacing w:after="160" w:before="360"/>
      </w:pPr>
      <w:r>
        <w:rPr>
          <w:rFonts w:ascii="Arial" w:cs="Arial" w:eastAsia="Arial" w:hAnsi="Arial"/>
          <w:b/>
          <w:bCs/>
          <w:color w:val="561217"/>
          <w:sz w:val="26"/>
          <w:szCs w:val="26"/>
        </w:rPr>
        <w:t xml:space="preserve">4. Mandatory External Reporting — Concurrent Duties</w:t>
      </w:r>
    </w:p>
    <w:p>
      <w:pPr>
        <w:spacing w:after="120" w:before="60" w:line="320"/>
        <w:jc w:val="both"/>
      </w:pPr>
      <w:r>
        <w:rPr>
          <w:rFonts w:ascii="Arial" w:cs="Arial" w:eastAsia="Arial" w:hAnsi="Arial"/>
          <w:color w:val="1F1E1E"/>
          <w:sz w:val="22"/>
          <w:szCs w:val="22"/>
        </w:rPr>
        <w:t xml:space="preserve">Internal incident reporting under this Policy does not satisfy any external mandatory reporting obligation. Reporters and Foundation staff shall, in parallel with the internal report, make required external reports including:</w:t>
      </w:r>
    </w:p>
    <w:p>
      <w:pPr>
        <w:spacing w:after="120" w:before="60" w:line="320"/>
        <w:jc w:val="both"/>
      </w:pPr>
      <w:r>
        <w:rPr>
          <w:rFonts w:ascii="Arial" w:cs="Arial" w:eastAsia="Arial" w:hAnsi="Arial"/>
          <w:color w:val="1F1E1E"/>
          <w:sz w:val="22"/>
          <w:szCs w:val="22"/>
        </w:rPr>
        <w:t xml:space="preserve">(a) </w:t>
      </w:r>
      <w:r>
        <w:rPr>
          <w:rFonts w:ascii="Arial" w:cs="Arial" w:eastAsia="Arial" w:hAnsi="Arial"/>
          <w:b/>
          <w:bCs/>
          <w:color w:val="1F1E1E"/>
          <w:sz w:val="22"/>
          <w:szCs w:val="22"/>
        </w:rPr>
        <w:t xml:space="preserve">Suspected child abuse or neglect.</w:t>
      </w:r>
      <w:r>
        <w:rPr>
          <w:rFonts w:ascii="Arial" w:cs="Arial" w:eastAsia="Arial" w:hAnsi="Arial"/>
          <w:color w:val="1F1E1E"/>
          <w:sz w:val="22"/>
          <w:szCs w:val="22"/>
        </w:rPr>
        <w:t xml:space="preserve"> Texas Department of Family and Protective Services (1-800-252-5400), within 48 hours, per Texas Family Code § 261.101 and Holon Foundation Policy No. 31 § 8.</w:t>
      </w:r>
    </w:p>
    <w:p>
      <w:pPr>
        <w:spacing w:after="120" w:before="60" w:line="320"/>
        <w:jc w:val="both"/>
      </w:pPr>
      <w:r>
        <w:rPr>
          <w:rFonts w:ascii="Arial" w:cs="Arial" w:eastAsia="Arial" w:hAnsi="Arial"/>
          <w:color w:val="1F1E1E"/>
          <w:sz w:val="22"/>
          <w:szCs w:val="22"/>
        </w:rPr>
        <w:t xml:space="preserve">(b) </w:t>
      </w:r>
      <w:r>
        <w:rPr>
          <w:rFonts w:ascii="Arial" w:cs="Arial" w:eastAsia="Arial" w:hAnsi="Arial"/>
          <w:b/>
          <w:bCs/>
          <w:color w:val="1F1E1E"/>
          <w:sz w:val="22"/>
          <w:szCs w:val="22"/>
        </w:rPr>
        <w:t xml:space="preserve">Suspected abuse, neglect, or exploitation of an elderly person or person with a disability.</w:t>
      </w:r>
      <w:r>
        <w:rPr>
          <w:rFonts w:ascii="Arial" w:cs="Arial" w:eastAsia="Arial" w:hAnsi="Arial"/>
          <w:color w:val="1F1E1E"/>
          <w:sz w:val="22"/>
          <w:szCs w:val="22"/>
        </w:rPr>
        <w:t xml:space="preserve"> Texas DFPS Adult Protective Services (1-800-252-5400), per Texas Human Resources Code § 48.051.</w:t>
      </w:r>
    </w:p>
    <w:p>
      <w:pPr>
        <w:spacing w:after="120" w:before="60" w:line="320"/>
        <w:jc w:val="both"/>
      </w:pPr>
      <w:r>
        <w:rPr>
          <w:rFonts w:ascii="Arial" w:cs="Arial" w:eastAsia="Arial" w:hAnsi="Arial"/>
          <w:color w:val="1F1E1E"/>
          <w:sz w:val="22"/>
          <w:szCs w:val="22"/>
        </w:rPr>
        <w:t xml:space="preserve">(c) </w:t>
      </w:r>
      <w:r>
        <w:rPr>
          <w:rFonts w:ascii="Arial" w:cs="Arial" w:eastAsia="Arial" w:hAnsi="Arial"/>
          <w:b/>
          <w:bCs/>
          <w:color w:val="1F1E1E"/>
          <w:sz w:val="22"/>
          <w:szCs w:val="22"/>
        </w:rPr>
        <w:t xml:space="preserve">Employee fatality, in-patient hospitalization, amputation, or eye loss.</w:t>
      </w:r>
      <w:r>
        <w:rPr>
          <w:rFonts w:ascii="Arial" w:cs="Arial" w:eastAsia="Arial" w:hAnsi="Arial"/>
          <w:color w:val="1F1E1E"/>
          <w:sz w:val="22"/>
          <w:szCs w:val="22"/>
        </w:rPr>
        <w:t xml:space="preserve"> OSHA (1-800-321-OSHA or osha.gov/report), within 8 hours of a fatality or 24 hours of hospitalization/amputation/loss-of-eye, per 29 C.F.R. § 1904.39.</w:t>
      </w:r>
    </w:p>
    <w:p>
      <w:pPr>
        <w:spacing w:after="120" w:before="60" w:line="320"/>
        <w:jc w:val="both"/>
      </w:pPr>
      <w:r>
        <w:rPr>
          <w:rFonts w:ascii="Arial" w:cs="Arial" w:eastAsia="Arial" w:hAnsi="Arial"/>
          <w:color w:val="1F1E1E"/>
          <w:sz w:val="22"/>
          <w:szCs w:val="22"/>
        </w:rPr>
        <w:t xml:space="preserve">(d) </w:t>
      </w:r>
      <w:r>
        <w:rPr>
          <w:rFonts w:ascii="Arial" w:cs="Arial" w:eastAsia="Arial" w:hAnsi="Arial"/>
          <w:b/>
          <w:bCs/>
          <w:color w:val="1F1E1E"/>
          <w:sz w:val="22"/>
          <w:szCs w:val="22"/>
        </w:rPr>
        <w:t xml:space="preserve">Suspected criminal activity.</w:t>
      </w:r>
      <w:r>
        <w:rPr>
          <w:rFonts w:ascii="Arial" w:cs="Arial" w:eastAsia="Arial" w:hAnsi="Arial"/>
          <w:color w:val="1F1E1E"/>
          <w:sz w:val="22"/>
          <w:szCs w:val="22"/>
        </w:rPr>
        <w:t xml:space="preserve"> Local law enforcement.</w:t>
      </w:r>
    </w:p>
    <w:p>
      <w:pPr>
        <w:spacing w:after="120" w:before="60" w:line="320"/>
        <w:jc w:val="both"/>
      </w:pPr>
      <w:r>
        <w:rPr>
          <w:rFonts w:ascii="Arial" w:cs="Arial" w:eastAsia="Arial" w:hAnsi="Arial"/>
          <w:color w:val="1F1E1E"/>
          <w:sz w:val="22"/>
          <w:szCs w:val="22"/>
        </w:rPr>
        <w:t xml:space="preserve">(e) </w:t>
      </w:r>
      <w:r>
        <w:rPr>
          <w:rFonts w:ascii="Arial" w:cs="Arial" w:eastAsia="Arial" w:hAnsi="Arial"/>
          <w:b/>
          <w:bCs/>
          <w:color w:val="1F1E1E"/>
          <w:sz w:val="22"/>
          <w:szCs w:val="22"/>
        </w:rPr>
        <w:t xml:space="preserve">Data breaches involving personal information.</w:t>
      </w:r>
      <w:r>
        <w:rPr>
          <w:rFonts w:ascii="Arial" w:cs="Arial" w:eastAsia="Arial" w:hAnsi="Arial"/>
          <w:color w:val="1F1E1E"/>
          <w:sz w:val="22"/>
          <w:szCs w:val="22"/>
        </w:rPr>
        <w:t xml:space="preserve"> Per Holon Foundation Policy No. 15 (Data Privacy and Security).</w:t>
      </w:r>
    </w:p>
    <w:p>
      <w:pPr>
        <w:spacing w:after="120" w:before="60" w:line="320"/>
        <w:jc w:val="both"/>
      </w:pPr>
      <w:r>
        <w:rPr>
          <w:rFonts w:ascii="Arial" w:cs="Arial" w:eastAsia="Arial" w:hAnsi="Arial"/>
          <w:color w:val="1F1E1E"/>
          <w:sz w:val="22"/>
          <w:szCs w:val="22"/>
        </w:rPr>
        <w:t xml:space="preserve">The Foundation does not require internal completion or investigation before mandatory external reports.</w:t>
      </w:r>
    </w:p>
    <w:p>
      <w:pPr>
        <w:keepNext/>
        <w:spacing w:after="160" w:before="360"/>
      </w:pPr>
      <w:r>
        <w:rPr>
          <w:rFonts w:ascii="Arial" w:cs="Arial" w:eastAsia="Arial" w:hAnsi="Arial"/>
          <w:b/>
          <w:bCs/>
          <w:color w:val="561217"/>
          <w:sz w:val="26"/>
          <w:szCs w:val="26"/>
        </w:rPr>
        <w:t xml:space="preserve">5. Data Retention — Harmonization</w:t>
      </w:r>
    </w:p>
    <w:p>
      <w:pPr>
        <w:spacing w:after="120" w:before="60" w:line="320"/>
        <w:jc w:val="both"/>
      </w:pPr>
      <w:r>
        <w:rPr>
          <w:rFonts w:ascii="Arial" w:cs="Arial" w:eastAsia="Arial" w:hAnsi="Arial"/>
          <w:color w:val="1F1E1E"/>
          <w:sz w:val="22"/>
          <w:szCs w:val="22"/>
        </w:rPr>
        <w:t xml:space="preserve">Retention periods for incident records follow Holon Foundation Policy No. 06 (Document Retention and Destruction Policy), as follows:</w:t>
      </w:r>
    </w:p>
    <w:p>
      <w:pPr>
        <w:spacing w:after="120" w:before="60" w:line="320"/>
        <w:jc w:val="both"/>
      </w:pPr>
      <w:r>
        <w:rPr>
          <w:rFonts w:ascii="Arial" w:cs="Arial" w:eastAsia="Arial" w:hAnsi="Arial"/>
          <w:color w:val="1F1E1E"/>
          <w:sz w:val="22"/>
          <w:szCs w:val="22"/>
        </w:rPr>
        <w:t xml:space="preserve">(a) general incident reports: 7 years from resolution;</w:t>
      </w:r>
    </w:p>
    <w:p>
      <w:pPr>
        <w:spacing w:after="120" w:before="60" w:line="320"/>
        <w:jc w:val="both"/>
      </w:pPr>
      <w:r>
        <w:rPr>
          <w:rFonts w:ascii="Arial" w:cs="Arial" w:eastAsia="Arial" w:hAnsi="Arial"/>
          <w:color w:val="1F1E1E"/>
          <w:sz w:val="22"/>
          <w:szCs w:val="22"/>
        </w:rPr>
        <w:t xml:space="preserve">(b) reports involving employee medical exposure or injury subject to OSHA 29 C.F.R. § 1910.1020: </w:t>
      </w:r>
      <w:r>
        <w:rPr>
          <w:rFonts w:ascii="Arial" w:cs="Arial" w:eastAsia="Arial" w:hAnsi="Arial"/>
          <w:b/>
          <w:bCs/>
          <w:color w:val="1F1E1E"/>
          <w:sz w:val="22"/>
          <w:szCs w:val="22"/>
        </w:rPr>
        <w:t xml:space="preserve">30 years</w:t>
      </w:r>
      <w:r>
        <w:rPr>
          <w:rFonts w:ascii="Arial" w:cs="Arial" w:eastAsia="Arial" w:hAnsi="Arial"/>
          <w:color w:val="1F1E1E"/>
          <w:sz w:val="22"/>
          <w:szCs w:val="22"/>
        </w:rPr>
        <w:t xml:space="preserve"> from the date of the exposure or incident;</w:t>
      </w:r>
    </w:p>
    <w:p>
      <w:pPr>
        <w:spacing w:after="120" w:before="60" w:line="320"/>
        <w:jc w:val="both"/>
      </w:pPr>
      <w:r>
        <w:rPr>
          <w:rFonts w:ascii="Arial" w:cs="Arial" w:eastAsia="Arial" w:hAnsi="Arial"/>
          <w:color w:val="1F1E1E"/>
          <w:sz w:val="22"/>
          <w:szCs w:val="22"/>
        </w:rPr>
        <w:t xml:space="preserve">(c) whistleblower-channeled reports: 7 years (Policy No. 05);</w:t>
      </w:r>
    </w:p>
    <w:p>
      <w:pPr>
        <w:spacing w:after="120" w:before="60" w:line="320"/>
        <w:jc w:val="both"/>
      </w:pPr>
      <w:r>
        <w:rPr>
          <w:rFonts w:ascii="Arial" w:cs="Arial" w:eastAsia="Arial" w:hAnsi="Arial"/>
          <w:color w:val="1F1E1E"/>
          <w:sz w:val="22"/>
          <w:szCs w:val="22"/>
        </w:rPr>
        <w:t xml:space="preserve">(d) reports involving minors: retained until the longer of 7 years post-resolution or 2 years after the minor's 18th birthday;</w:t>
      </w:r>
    </w:p>
    <w:p>
      <w:pPr>
        <w:spacing w:after="120" w:before="60" w:line="320"/>
        <w:jc w:val="both"/>
      </w:pPr>
      <w:r>
        <w:rPr>
          <w:rFonts w:ascii="Arial" w:cs="Arial" w:eastAsia="Arial" w:hAnsi="Arial"/>
          <w:color w:val="1F1E1E"/>
          <w:sz w:val="22"/>
          <w:szCs w:val="22"/>
        </w:rPr>
        <w:t xml:space="preserve">(e) records subject to active litigation hold: indefinitely, per the hold notice.</w:t>
      </w:r>
    </w:p>
    <w:p>
      <w:pPr>
        <w:spacing w:after="120" w:before="60" w:line="320"/>
        <w:jc w:val="both"/>
      </w:pPr>
      <w:r>
        <w:rPr>
          <w:rFonts w:ascii="Arial" w:cs="Arial" w:eastAsia="Arial" w:hAnsi="Arial"/>
          <w:color w:val="1F1E1E"/>
          <w:sz w:val="22"/>
          <w:szCs w:val="22"/>
        </w:rPr>
        <w:t xml:space="preserve">All retained reports are held in secure, encrypted storage. This retention period complies with legal discovery requirements and allows for pattern identification and epidemiological analysis.</w:t>
      </w:r>
    </w:p>
    <w:p>
      <w:pPr>
        <w:keepNext/>
        <w:spacing w:after="160" w:before="360"/>
      </w:pPr>
      <w:r>
        <w:rPr>
          <w:rFonts w:ascii="Arial" w:cs="Arial" w:eastAsia="Arial" w:hAnsi="Arial"/>
          <w:b/>
          <w:bCs/>
          <w:color w:val="561217"/>
          <w:sz w:val="26"/>
          <w:szCs w:val="26"/>
        </w:rPr>
        <w:t xml:space="preserve">6. Immutable Audit Trail Requirements</w:t>
      </w:r>
    </w:p>
    <w:p>
      <w:pPr>
        <w:spacing w:after="120" w:before="60" w:line="320"/>
        <w:jc w:val="both"/>
      </w:pPr>
      <w:r>
        <w:rPr>
          <w:rFonts w:ascii="Arial" w:cs="Arial" w:eastAsia="Arial" w:hAnsi="Arial"/>
          <w:color w:val="1F1E1E"/>
          <w:sz w:val="22"/>
          <w:szCs w:val="22"/>
        </w:rPr>
        <w:t xml:space="preserve">The incident reporting system maintains immutable audit trails of:</w:t>
      </w:r>
    </w:p>
    <w:p>
      <w:pPr>
        <w:pStyle w:val="ListParagraph"/>
        <w:numPr>
          <w:ilvl w:val="0"/>
          <w:numId w:val="2"/>
        </w:numPr>
        <w:spacing w:after="40" w:before="40" w:line="300"/>
      </w:pPr>
      <w:r>
        <w:rPr>
          <w:rFonts w:ascii="Arial" w:cs="Arial" w:eastAsia="Arial" w:hAnsi="Arial"/>
          <w:color w:val="1F1E1E"/>
          <w:sz w:val="22"/>
          <w:szCs w:val="22"/>
        </w:rPr>
        <w:t xml:space="preserve">All data entries and modifications</w:t>
      </w:r>
    </w:p>
    <w:p>
      <w:pPr>
        <w:pStyle w:val="ListParagraph"/>
        <w:numPr>
          <w:ilvl w:val="0"/>
          <w:numId w:val="2"/>
        </w:numPr>
        <w:spacing w:after="40" w:before="40" w:line="300"/>
      </w:pPr>
      <w:r>
        <w:rPr>
          <w:rFonts w:ascii="Arial" w:cs="Arial" w:eastAsia="Arial" w:hAnsi="Arial"/>
          <w:color w:val="1F1E1E"/>
          <w:sz w:val="22"/>
          <w:szCs w:val="22"/>
        </w:rPr>
        <w:t xml:space="preserve">User access to incident reports</w:t>
      </w:r>
    </w:p>
    <w:p>
      <w:pPr>
        <w:pStyle w:val="ListParagraph"/>
        <w:numPr>
          <w:ilvl w:val="0"/>
          <w:numId w:val="2"/>
        </w:numPr>
        <w:spacing w:after="40" w:before="40" w:line="300"/>
      </w:pPr>
      <w:r>
        <w:rPr>
          <w:rFonts w:ascii="Arial" w:cs="Arial" w:eastAsia="Arial" w:hAnsi="Arial"/>
          <w:color w:val="1F1E1E"/>
          <w:sz w:val="22"/>
          <w:szCs w:val="22"/>
        </w:rPr>
        <w:t xml:space="preserve">Timestamps for all actions</w:t>
      </w:r>
    </w:p>
    <w:p>
      <w:pPr>
        <w:pStyle w:val="ListParagraph"/>
        <w:numPr>
          <w:ilvl w:val="0"/>
          <w:numId w:val="2"/>
        </w:numPr>
        <w:spacing w:after="40" w:before="40" w:line="300"/>
      </w:pPr>
      <w:r>
        <w:rPr>
          <w:rFonts w:ascii="Arial" w:cs="Arial" w:eastAsia="Arial" w:hAnsi="Arial"/>
          <w:color w:val="1F1E1E"/>
          <w:sz w:val="22"/>
          <w:szCs w:val="22"/>
        </w:rPr>
        <w:t xml:space="preserve">Individual user identification</w:t>
      </w:r>
    </w:p>
    <w:p>
      <w:pPr>
        <w:spacing w:after="120" w:before="60" w:line="320"/>
        <w:jc w:val="both"/>
      </w:pPr>
      <w:r>
        <w:rPr>
          <w:rFonts w:ascii="Arial" w:cs="Arial" w:eastAsia="Arial" w:hAnsi="Arial"/>
          <w:color w:val="1F1E1E"/>
          <w:sz w:val="22"/>
          <w:szCs w:val="22"/>
        </w:rPr>
        <w:t xml:space="preserve">Audit trails cannot be modified or deleted, ensuring data integrity and accountability. Changes are only allowed through new entries with full documentation.</w:t>
      </w:r>
    </w:p>
    <w:p>
      <w:pPr>
        <w:keepNext/>
        <w:spacing w:after="160" w:before="360"/>
      </w:pPr>
      <w:r>
        <w:rPr>
          <w:rFonts w:ascii="Arial" w:cs="Arial" w:eastAsia="Arial" w:hAnsi="Arial"/>
          <w:b/>
          <w:bCs/>
          <w:color w:val="561217"/>
          <w:sz w:val="26"/>
          <w:szCs w:val="26"/>
        </w:rPr>
        <w:t xml:space="preserve">7. Electronic Records and Audit Trail</w:t>
      </w:r>
    </w:p>
    <w:p>
      <w:pPr>
        <w:spacing w:after="120" w:before="60" w:line="320"/>
        <w:jc w:val="both"/>
      </w:pPr>
      <w:r>
        <w:rPr>
          <w:rFonts w:ascii="Arial" w:cs="Arial" w:eastAsia="Arial" w:hAnsi="Arial"/>
          <w:color w:val="1F1E1E"/>
          <w:sz w:val="22"/>
          <w:szCs w:val="22"/>
        </w:rPr>
        <w:t xml:space="preserve">The incident reporting system complies with:</w:t>
      </w:r>
    </w:p>
    <w:p>
      <w:pPr>
        <w:spacing w:after="120" w:before="60" w:line="320"/>
        <w:jc w:val="both"/>
      </w:pPr>
      <w:r>
        <w:rPr>
          <w:rFonts w:ascii="Arial" w:cs="Arial" w:eastAsia="Arial" w:hAnsi="Arial"/>
          <w:color w:val="1F1E1E"/>
          <w:sz w:val="22"/>
          <w:szCs w:val="22"/>
        </w:rPr>
        <w:t xml:space="preserve">(a) the </w:t>
      </w:r>
      <w:r>
        <w:rPr>
          <w:rFonts w:ascii="Arial" w:cs="Arial" w:eastAsia="Arial" w:hAnsi="Arial"/>
          <w:b/>
          <w:bCs/>
          <w:color w:val="1F1E1E"/>
          <w:sz w:val="22"/>
          <w:szCs w:val="22"/>
        </w:rPr>
        <w:t xml:space="preserve">Texas Uniform Electronic Transactions Act</w:t>
      </w:r>
      <w:r>
        <w:rPr>
          <w:rFonts w:ascii="Arial" w:cs="Arial" w:eastAsia="Arial" w:hAnsi="Arial"/>
          <w:color w:val="1F1E1E"/>
          <w:sz w:val="22"/>
          <w:szCs w:val="22"/>
        </w:rPr>
        <w:t xml:space="preserve">, Bus. &amp; Com. Code § 322, governing the legal effect of electronic records and signatures;</w:t>
      </w:r>
    </w:p>
    <w:p>
      <w:pPr>
        <w:spacing w:after="120" w:before="60" w:line="320"/>
        <w:jc w:val="both"/>
      </w:pPr>
      <w:r>
        <w:rPr>
          <w:rFonts w:ascii="Arial" w:cs="Arial" w:eastAsia="Arial" w:hAnsi="Arial"/>
          <w:color w:val="1F1E1E"/>
          <w:sz w:val="22"/>
          <w:szCs w:val="22"/>
        </w:rPr>
        <w:t xml:space="preserve">(b) the federal </w:t>
      </w:r>
      <w:r>
        <w:rPr>
          <w:rFonts w:ascii="Arial" w:cs="Arial" w:eastAsia="Arial" w:hAnsi="Arial"/>
          <w:b/>
          <w:bCs/>
          <w:color w:val="1F1E1E"/>
          <w:sz w:val="22"/>
          <w:szCs w:val="22"/>
        </w:rPr>
        <w:t xml:space="preserve">E-SIGN Act</w:t>
      </w:r>
      <w:r>
        <w:rPr>
          <w:rFonts w:ascii="Arial" w:cs="Arial" w:eastAsia="Arial" w:hAnsi="Arial"/>
          <w:color w:val="1F1E1E"/>
          <w:sz w:val="22"/>
          <w:szCs w:val="22"/>
        </w:rPr>
        <w:t xml:space="preserve">, 15 U.S.C. § 7001;</w:t>
      </w:r>
    </w:p>
    <w:p>
      <w:pPr>
        <w:spacing w:after="120" w:before="60" w:line="320"/>
        <w:jc w:val="both"/>
      </w:pPr>
      <w:r>
        <w:rPr>
          <w:rFonts w:ascii="Arial" w:cs="Arial" w:eastAsia="Arial" w:hAnsi="Arial"/>
          <w:color w:val="1F1E1E"/>
          <w:sz w:val="22"/>
          <w:szCs w:val="22"/>
        </w:rPr>
        <w:t xml:space="preserve">(c) AICPA </w:t>
      </w:r>
      <w:r>
        <w:rPr>
          <w:rFonts w:ascii="Arial" w:cs="Arial" w:eastAsia="Arial" w:hAnsi="Arial"/>
          <w:b/>
          <w:bCs/>
          <w:color w:val="1F1E1E"/>
          <w:sz w:val="22"/>
          <w:szCs w:val="22"/>
        </w:rPr>
        <w:t xml:space="preserve">SOC 2 Type II</w:t>
      </w:r>
      <w:r>
        <w:rPr>
          <w:rFonts w:ascii="Arial" w:cs="Arial" w:eastAsia="Arial" w:hAnsi="Arial"/>
          <w:color w:val="1F1E1E"/>
          <w:sz w:val="22"/>
          <w:szCs w:val="22"/>
        </w:rPr>
        <w:t xml:space="preserve"> Trust Services Criteria for Security and Confidentiality, where the platform provider (Supabase) holds current SOC 2 attestation;</w:t>
      </w:r>
    </w:p>
    <w:p>
      <w:pPr>
        <w:spacing w:after="120" w:before="60" w:line="320"/>
        <w:jc w:val="both"/>
      </w:pPr>
      <w:r>
        <w:rPr>
          <w:rFonts w:ascii="Arial" w:cs="Arial" w:eastAsia="Arial" w:hAnsi="Arial"/>
          <w:color w:val="1F1E1E"/>
          <w:sz w:val="22"/>
          <w:szCs w:val="22"/>
        </w:rPr>
        <w:t xml:space="preserve">(d) industry-standard secure-recordkeeping practices including unique user authentication, role-based access, encrypted storage, and immutable audit trail entries.</w:t>
      </w:r>
    </w:p>
    <w:p>
      <w:pPr>
        <w:spacing w:after="120" w:before="60" w:line="320"/>
        <w:jc w:val="both"/>
      </w:pPr>
      <w:r>
        <w:rPr>
          <w:rFonts w:ascii="Arial" w:cs="Arial" w:eastAsia="Arial" w:hAnsi="Arial"/>
          <w:color w:val="1F1E1E"/>
          <w:sz w:val="22"/>
          <w:szCs w:val="22"/>
        </w:rPr>
        <w:t xml:space="preserve">Records may be admitted in evidence under the </w:t>
      </w:r>
      <w:r>
        <w:rPr>
          <w:rFonts w:ascii="Arial" w:cs="Arial" w:eastAsia="Arial" w:hAnsi="Arial"/>
          <w:b/>
          <w:bCs/>
          <w:color w:val="1F1E1E"/>
          <w:sz w:val="22"/>
          <w:szCs w:val="22"/>
        </w:rPr>
        <w:t xml:space="preserve">Texas Rules of Evidence Rule 902(10)</w:t>
      </w:r>
      <w:r>
        <w:rPr>
          <w:rFonts w:ascii="Arial" w:cs="Arial" w:eastAsia="Arial" w:hAnsi="Arial"/>
          <w:color w:val="1F1E1E"/>
          <w:sz w:val="22"/>
          <w:szCs w:val="22"/>
        </w:rPr>
        <w:t xml:space="preserve"> (self-authenticating business records of regularly conducted activity).</w:t>
      </w:r>
    </w:p>
    <w:p>
      <w:pPr>
        <w:keepNext/>
        <w:spacing w:after="160" w:before="360"/>
      </w:pPr>
      <w:r>
        <w:rPr>
          <w:rFonts w:ascii="Arial" w:cs="Arial" w:eastAsia="Arial" w:hAnsi="Arial"/>
          <w:b/>
          <w:bCs/>
          <w:color w:val="561217"/>
          <w:sz w:val="26"/>
          <w:szCs w:val="26"/>
        </w:rPr>
        <w:t xml:space="preserve">8. Anonymized Incident Sharing for Community Safety</w:t>
      </w:r>
    </w:p>
    <w:p>
      <w:pPr>
        <w:spacing w:after="120" w:before="60" w:line="320"/>
        <w:jc w:val="both"/>
      </w:pPr>
      <w:r>
        <w:rPr>
          <w:rFonts w:ascii="Arial" w:cs="Arial" w:eastAsia="Arial" w:hAnsi="Arial"/>
          <w:color w:val="1F1E1E"/>
          <w:sz w:val="22"/>
          <w:szCs w:val="22"/>
        </w:rPr>
        <w:t xml:space="preserve">The Holon Foundation may share anonymized incident data with:</w:t>
      </w:r>
    </w:p>
    <w:p>
      <w:pPr>
        <w:pStyle w:val="ListParagraph"/>
        <w:numPr>
          <w:ilvl w:val="0"/>
          <w:numId w:val="2"/>
        </w:numPr>
        <w:spacing w:after="40" w:before="40" w:line="300"/>
      </w:pPr>
      <w:r>
        <w:rPr>
          <w:rFonts w:ascii="Arial" w:cs="Arial" w:eastAsia="Arial" w:hAnsi="Arial"/>
          <w:color w:val="1F1E1E"/>
          <w:sz w:val="22"/>
          <w:szCs w:val="22"/>
        </w:rPr>
        <w:t xml:space="preserve">Poison control centers and toxicology networks</w:t>
      </w:r>
    </w:p>
    <w:p>
      <w:pPr>
        <w:pStyle w:val="ListParagraph"/>
        <w:numPr>
          <w:ilvl w:val="0"/>
          <w:numId w:val="2"/>
        </w:numPr>
        <w:spacing w:after="40" w:before="40" w:line="300"/>
      </w:pPr>
      <w:r>
        <w:rPr>
          <w:rFonts w:ascii="Arial" w:cs="Arial" w:eastAsia="Arial" w:hAnsi="Arial"/>
          <w:color w:val="1F1E1E"/>
          <w:sz w:val="22"/>
          <w:szCs w:val="22"/>
        </w:rPr>
        <w:t xml:space="preserve">Public health agencies</w:t>
      </w:r>
    </w:p>
    <w:p>
      <w:pPr>
        <w:pStyle w:val="ListParagraph"/>
        <w:numPr>
          <w:ilvl w:val="0"/>
          <w:numId w:val="2"/>
        </w:numPr>
        <w:spacing w:after="40" w:before="40" w:line="300"/>
      </w:pPr>
      <w:r>
        <w:rPr>
          <w:rFonts w:ascii="Arial" w:cs="Arial" w:eastAsia="Arial" w:hAnsi="Arial"/>
          <w:color w:val="1F1E1E"/>
          <w:sz w:val="22"/>
          <w:szCs w:val="22"/>
        </w:rPr>
        <w:t xml:space="preserve">Other horticultural and botanical organizations</w:t>
      </w:r>
    </w:p>
    <w:p>
      <w:pPr>
        <w:pStyle w:val="ListParagraph"/>
        <w:numPr>
          <w:ilvl w:val="0"/>
          <w:numId w:val="2"/>
        </w:numPr>
        <w:spacing w:after="40" w:before="40" w:line="300"/>
      </w:pPr>
      <w:r>
        <w:rPr>
          <w:rFonts w:ascii="Arial" w:cs="Arial" w:eastAsia="Arial" w:hAnsi="Arial"/>
          <w:color w:val="1F1E1E"/>
          <w:sz w:val="22"/>
          <w:szCs w:val="22"/>
        </w:rPr>
        <w:t xml:space="preserve">Community members and participants (aggregate data only)</w:t>
      </w:r>
    </w:p>
    <w:p>
      <w:pPr>
        <w:keepNext/>
        <w:spacing w:after="120" w:before="240"/>
      </w:pPr>
      <w:r>
        <w:rPr>
          <w:rFonts w:ascii="Arial" w:cs="Arial" w:eastAsia="Arial" w:hAnsi="Arial"/>
          <w:b/>
          <w:bCs/>
          <w:color w:val="3B5937"/>
          <w:sz w:val="22"/>
          <w:szCs w:val="22"/>
        </w:rPr>
        <w:t xml:space="preserve">8.b De-identification Standard</w:t>
      </w:r>
    </w:p>
    <w:p>
      <w:pPr>
        <w:spacing w:after="120" w:before="60" w:line="320"/>
        <w:jc w:val="both"/>
      </w:pPr>
      <w:r>
        <w:rPr>
          <w:rFonts w:ascii="Arial" w:cs="Arial" w:eastAsia="Arial" w:hAnsi="Arial"/>
          <w:color w:val="1F1E1E"/>
          <w:sz w:val="22"/>
          <w:szCs w:val="22"/>
        </w:rPr>
        <w:t xml:space="preserve">Before sharing aggregated or anonymized incident data with any external party, the Foundation shall apply de-identification methods at least as protective as the </w:t>
      </w:r>
      <w:r>
        <w:rPr>
          <w:rFonts w:ascii="Arial" w:cs="Arial" w:eastAsia="Arial" w:hAnsi="Arial"/>
          <w:b/>
          <w:bCs/>
          <w:color w:val="1F1E1E"/>
          <w:sz w:val="22"/>
          <w:szCs w:val="22"/>
        </w:rPr>
        <w:t xml:space="preserve">HIPAA Safe Harbor</w:t>
      </w:r>
      <w:r>
        <w:rPr>
          <w:rFonts w:ascii="Arial" w:cs="Arial" w:eastAsia="Arial" w:hAnsi="Arial"/>
          <w:color w:val="1F1E1E"/>
          <w:sz w:val="22"/>
          <w:szCs w:val="22"/>
        </w:rPr>
        <w:t xml:space="preserve"> (45 C.F.R. § 164.514(b)) including removal of: names, geographic subdivisions smaller than state, all dates (except year) related to the individual, telephone, fax, email, SSN, medical record numbers, account numbers, license/certificate numbers, vehicle identifiers, device identifiers, URLs, IP addresses, biometric identifiers, photographs, and any other unique identifying number or code.</w:t>
      </w:r>
    </w:p>
    <w:p>
      <w:pPr>
        <w:spacing w:after="120" w:before="60" w:line="320"/>
        <w:jc w:val="both"/>
      </w:pPr>
      <w:r>
        <w:rPr>
          <w:rFonts w:ascii="Arial" w:cs="Arial" w:eastAsia="Arial" w:hAnsi="Arial"/>
          <w:color w:val="1F1E1E"/>
          <w:sz w:val="22"/>
          <w:szCs w:val="22"/>
        </w:rPr>
        <w:t xml:space="preserve">For datasets where small-cell counts (n&lt;11) might enable re-identification, the Foundation shall apply </w:t>
      </w:r>
      <w:r>
        <w:rPr>
          <w:rFonts w:ascii="Arial" w:cs="Arial" w:eastAsia="Arial" w:hAnsi="Arial"/>
          <w:b/>
          <w:bCs/>
          <w:color w:val="1F1E1E"/>
          <w:sz w:val="22"/>
          <w:szCs w:val="22"/>
        </w:rPr>
        <w:t xml:space="preserve">k-anonymity (k≥5)</w:t>
      </w:r>
      <w:r>
        <w:rPr>
          <w:rFonts w:ascii="Arial" w:cs="Arial" w:eastAsia="Arial" w:hAnsi="Arial"/>
          <w:color w:val="1F1E1E"/>
          <w:sz w:val="22"/>
          <w:szCs w:val="22"/>
        </w:rPr>
        <w:t xml:space="preserve"> suppression or aggregation. The Foundation does not currently share data that requires GDPR Article 4(5) pseudonymization standards.</w:t>
      </w:r>
    </w:p>
    <w:p>
      <w:pPr>
        <w:keepNext/>
        <w:spacing w:after="160" w:before="360"/>
      </w:pPr>
      <w:r>
        <w:rPr>
          <w:rFonts w:ascii="Arial" w:cs="Arial" w:eastAsia="Arial" w:hAnsi="Arial"/>
          <w:b/>
          <w:bCs/>
          <w:color w:val="561217"/>
          <w:sz w:val="26"/>
          <w:szCs w:val="26"/>
        </w:rPr>
        <w:t xml:space="preserve">9. Investigation and Follow-Up</w:t>
      </w:r>
    </w:p>
    <w:p>
      <w:pPr>
        <w:spacing w:after="120" w:before="60" w:line="320"/>
        <w:jc w:val="both"/>
      </w:pPr>
      <w:r>
        <w:rPr>
          <w:rFonts w:ascii="Arial" w:cs="Arial" w:eastAsia="Arial" w:hAnsi="Arial"/>
          <w:color w:val="1F1E1E"/>
          <w:sz w:val="22"/>
          <w:szCs w:val="22"/>
        </w:rPr>
        <w:t xml:space="preserve">Serious incidents trigger:</w:t>
      </w:r>
    </w:p>
    <w:p>
      <w:pPr>
        <w:pStyle w:val="ListParagraph"/>
        <w:numPr>
          <w:ilvl w:val="0"/>
          <w:numId w:val="2"/>
        </w:numPr>
        <w:spacing w:after="40" w:before="40" w:line="300"/>
      </w:pPr>
      <w:r>
        <w:rPr>
          <w:rFonts w:ascii="Arial" w:cs="Arial" w:eastAsia="Arial" w:hAnsi="Arial"/>
          <w:color w:val="1F1E1E"/>
          <w:sz w:val="22"/>
          <w:szCs w:val="22"/>
        </w:rPr>
        <w:t xml:space="preserve">Immediate investigation by safety staff</w:t>
      </w:r>
    </w:p>
    <w:p>
      <w:pPr>
        <w:pStyle w:val="ListParagraph"/>
        <w:numPr>
          <w:ilvl w:val="0"/>
          <w:numId w:val="2"/>
        </w:numPr>
        <w:spacing w:after="40" w:before="40" w:line="300"/>
      </w:pPr>
      <w:r>
        <w:rPr>
          <w:rFonts w:ascii="Arial" w:cs="Arial" w:eastAsia="Arial" w:hAnsi="Arial"/>
          <w:color w:val="1F1E1E"/>
          <w:sz w:val="22"/>
          <w:szCs w:val="22"/>
        </w:rPr>
        <w:t xml:space="preserve">Documentation of root causes and contributing factors</w:t>
      </w:r>
    </w:p>
    <w:p>
      <w:pPr>
        <w:pStyle w:val="ListParagraph"/>
        <w:numPr>
          <w:ilvl w:val="0"/>
          <w:numId w:val="2"/>
        </w:numPr>
        <w:spacing w:after="40" w:before="40" w:line="300"/>
      </w:pPr>
      <w:r>
        <w:rPr>
          <w:rFonts w:ascii="Arial" w:cs="Arial" w:eastAsia="Arial" w:hAnsi="Arial"/>
          <w:color w:val="1F1E1E"/>
          <w:sz w:val="22"/>
          <w:szCs w:val="22"/>
        </w:rPr>
        <w:t xml:space="preserve">Implementation of corrective actions</w:t>
      </w:r>
    </w:p>
    <w:p>
      <w:pPr>
        <w:pStyle w:val="ListParagraph"/>
        <w:numPr>
          <w:ilvl w:val="0"/>
          <w:numId w:val="2"/>
        </w:numPr>
        <w:spacing w:after="40" w:before="40" w:line="300"/>
      </w:pPr>
      <w:r>
        <w:rPr>
          <w:rFonts w:ascii="Arial" w:cs="Arial" w:eastAsia="Arial" w:hAnsi="Arial"/>
          <w:color w:val="1F1E1E"/>
          <w:sz w:val="22"/>
          <w:szCs w:val="22"/>
        </w:rPr>
        <w:t xml:space="preserve">Notification to relevant regulatory agencies if required (see § 4 above)</w:t>
      </w:r>
    </w:p>
    <w:p>
      <w:pPr>
        <w:keepNext/>
        <w:spacing w:after="160" w:before="360"/>
      </w:pPr>
      <w:r>
        <w:rPr>
          <w:rFonts w:ascii="Arial" w:cs="Arial" w:eastAsia="Arial" w:hAnsi="Arial"/>
          <w:b/>
          <w:bCs/>
          <w:color w:val="561217"/>
          <w:sz w:val="26"/>
          <w:szCs w:val="26"/>
        </w:rPr>
        <w:t xml:space="preserve">10. Confidentiality and Privacy</w:t>
      </w:r>
    </w:p>
    <w:p>
      <w:pPr>
        <w:spacing w:after="120" w:before="60" w:line="320"/>
        <w:jc w:val="both"/>
      </w:pPr>
      <w:r>
        <w:rPr>
          <w:rFonts w:ascii="Arial" w:cs="Arial" w:eastAsia="Arial" w:hAnsi="Arial"/>
          <w:color w:val="1F1E1E"/>
          <w:sz w:val="22"/>
          <w:szCs w:val="22"/>
        </w:rPr>
        <w:t xml:space="preserve">Incident reports are confidential medical information. Access is limited to authorized Holon Foundation personnel on a need-to-know basis. Unauthorized disclosure of incident information is prohibited and may result in legal liability.</w:t>
      </w:r>
    </w:p>
    <w:p>
      <w:pPr>
        <w:keepNext/>
        <w:spacing w:after="120" w:before="240"/>
      </w:pPr>
      <w:r>
        <w:rPr>
          <w:rFonts w:ascii="Arial" w:cs="Arial" w:eastAsia="Arial" w:hAnsi="Arial"/>
          <w:b/>
          <w:bCs/>
          <w:color w:val="3B5937"/>
          <w:sz w:val="22"/>
          <w:szCs w:val="22"/>
        </w:rPr>
        <w:t xml:space="preserve">10.b Rights of Subjects of Incident Reports</w:t>
      </w:r>
    </w:p>
    <w:p>
      <w:pPr>
        <w:spacing w:after="120" w:before="60" w:line="320"/>
        <w:jc w:val="both"/>
      </w:pPr>
      <w:r>
        <w:rPr>
          <w:rFonts w:ascii="Arial" w:cs="Arial" w:eastAsia="Arial" w:hAnsi="Arial"/>
          <w:color w:val="1F1E1E"/>
          <w:sz w:val="22"/>
          <w:szCs w:val="22"/>
        </w:rPr>
        <w:t xml:space="preserve">Where an incident report names or identifies an individual as alleged actor in misconduct, that individual is entitled to:</w:t>
      </w:r>
    </w:p>
    <w:p>
      <w:pPr>
        <w:spacing w:after="120" w:before="60" w:line="320"/>
        <w:jc w:val="both"/>
      </w:pPr>
      <w:r>
        <w:rPr>
          <w:rFonts w:ascii="Arial" w:cs="Arial" w:eastAsia="Arial" w:hAnsi="Arial"/>
          <w:color w:val="1F1E1E"/>
          <w:sz w:val="22"/>
          <w:szCs w:val="22"/>
        </w:rPr>
        <w:t xml:space="preserve">(a) notice that an incident report has been filed naming them (timing as appropriate to the investigation; not later than the conclusion of investigation);</w:t>
      </w:r>
    </w:p>
    <w:p>
      <w:pPr>
        <w:spacing w:after="120" w:before="60" w:line="320"/>
        <w:jc w:val="both"/>
      </w:pPr>
      <w:r>
        <w:rPr>
          <w:rFonts w:ascii="Arial" w:cs="Arial" w:eastAsia="Arial" w:hAnsi="Arial"/>
          <w:color w:val="1F1E1E"/>
          <w:sz w:val="22"/>
          <w:szCs w:val="22"/>
        </w:rPr>
        <w:t xml:space="preserve">(b) a description of the allegations sufficient to enable response;</w:t>
      </w:r>
    </w:p>
    <w:p>
      <w:pPr>
        <w:spacing w:after="120" w:before="60" w:line="320"/>
        <w:jc w:val="both"/>
      </w:pPr>
      <w:r>
        <w:rPr>
          <w:rFonts w:ascii="Arial" w:cs="Arial" w:eastAsia="Arial" w:hAnsi="Arial"/>
          <w:color w:val="1F1E1E"/>
          <w:sz w:val="22"/>
          <w:szCs w:val="22"/>
        </w:rPr>
        <w:t xml:space="preserve">(c) an opportunity to respond in writing or in person;</w:t>
      </w:r>
    </w:p>
    <w:p>
      <w:pPr>
        <w:spacing w:after="120" w:before="60" w:line="320"/>
        <w:jc w:val="both"/>
      </w:pPr>
      <w:r>
        <w:rPr>
          <w:rFonts w:ascii="Arial" w:cs="Arial" w:eastAsia="Arial" w:hAnsi="Arial"/>
          <w:color w:val="1F1E1E"/>
          <w:sz w:val="22"/>
          <w:szCs w:val="22"/>
        </w:rPr>
        <w:t xml:space="preserve">(d) review of any final determination affecting their continued participation.</w:t>
      </w:r>
    </w:p>
    <w:p>
      <w:pPr>
        <w:spacing w:after="120" w:before="60" w:line="320"/>
        <w:jc w:val="both"/>
      </w:pPr>
      <w:r>
        <w:rPr>
          <w:rFonts w:ascii="Arial" w:cs="Arial" w:eastAsia="Arial" w:hAnsi="Arial"/>
          <w:color w:val="1F1E1E"/>
          <w:sz w:val="22"/>
          <w:szCs w:val="22"/>
        </w:rPr>
        <w:t xml:space="preserve">These rights operate consistently with Holon Foundation Policy No. 05 (Whistleblower Protection — reporter confidentiality) and Policy No. 21 (Garden Reporting — dual reviewer due process); where the alleged misconduct involves child or vulnerable-adult safety, the safety of the child/adult takes precedence over notice timing, consistent with Texas Family Code § 261 and Human Resources Code § 48.</w:t>
      </w:r>
    </w:p>
    <w:p>
      <w:pPr>
        <w:keepNext/>
        <w:spacing w:after="160" w:before="360"/>
      </w:pPr>
      <w:r>
        <w:rPr>
          <w:rFonts w:ascii="Arial" w:cs="Arial" w:eastAsia="Arial" w:hAnsi="Arial"/>
          <w:b/>
          <w:bCs/>
          <w:color w:val="561217"/>
          <w:sz w:val="26"/>
          <w:szCs w:val="26"/>
        </w:rPr>
        <w:t xml:space="preserve">Acknowledgement and Acceptance</w:t>
      </w:r>
    </w:p>
    <w:p>
      <w:pPr>
        <w:spacing w:after="120" w:before="60" w:line="320"/>
        <w:jc w:val="both"/>
      </w:pPr>
      <w:r>
        <w:rPr>
          <w:rFonts w:ascii="Arial" w:cs="Arial" w:eastAsia="Arial" w:hAnsi="Arial"/>
          <w:color w:val="1F1E1E"/>
          <w:sz w:val="22"/>
          <w:szCs w:val="22"/>
        </w:rPr>
        <w:t xml:space="preserve">I acknowledge that I have read and understand this policy. I agree to comply with all provisions contained herein and understand that violation of this policy may result in suspension or termination of my access to Holon Foundation services and programs.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Field</w:t>
            </w:r>
          </w:p>
        </w:tc>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Details</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User Name (Print)</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User Signature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Date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w:t>
            </w:r>
          </w:p>
        </w:tc>
      </w:tr>
    </w:tbl>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33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33  ·  SAFETY INCIDENT REPORTING POLICY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Incident Reporting Policy</dc:title>
  <dc:creator>Holon Foundation</dc:creator>
  <dc:description>Holon Foundation — Policy No. 33</dc:description>
  <cp:lastModifiedBy>Un-named</cp:lastModifiedBy>
  <cp:revision>1</cp:revision>
  <dcterms:created xsi:type="dcterms:W3CDTF">2026-05-21T02:41:43.405Z</dcterms:created>
  <dcterms:modified xsi:type="dcterms:W3CDTF">2026-05-21T02:41:43.405Z</dcterms:modified>
</cp:coreProperties>
</file>

<file path=docProps/custom.xml><?xml version="1.0" encoding="utf-8"?>
<Properties xmlns="http://schemas.openxmlformats.org/officeDocument/2006/custom-properties" xmlns:vt="http://schemas.openxmlformats.org/officeDocument/2006/docPropsVTypes"/>
</file>