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32</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Youth Engagement Policy</w:t>
      </w:r>
    </w:p>
    <w:p>
      <w:pPr>
        <w:spacing w:after="0" w:before="0"/>
        <w:jc w:val="center"/>
      </w:pPr>
      <w:r>
        <w:rPr>
          <w:rFonts w:ascii="Arial" w:cs="Arial" w:eastAsia="Arial" w:hAnsi="Arial"/>
          <w:i/>
          <w:iCs/>
          <w:color w:val="4A4A4A"/>
          <w:sz w:val="20"/>
          <w:szCs w:val="20"/>
        </w:rPr>
        <w:t xml:space="preserve">Holon Foundation — Policy No. 32</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Bifurcated definitions and applicability into </w:t>
      </w:r>
      <w:r>
        <w:rPr>
          <w:rFonts w:ascii="Arial" w:cs="Arial" w:eastAsia="Arial" w:hAnsi="Arial"/>
          <w:b/>
          <w:bCs/>
          <w:color w:val="1F1E1E"/>
          <w:sz w:val="22"/>
          <w:szCs w:val="22"/>
        </w:rPr>
        <w:t xml:space="preserve">Minor Youth (13–17)</w:t>
      </w:r>
      <w:r>
        <w:rPr>
          <w:rFonts w:ascii="Arial" w:cs="Arial" w:eastAsia="Arial" w:hAnsi="Arial"/>
          <w:color w:val="1F1E1E"/>
          <w:sz w:val="22"/>
          <w:szCs w:val="22"/>
        </w:rPr>
        <w:t xml:space="preserve"> and </w:t>
      </w:r>
      <w:r>
        <w:rPr>
          <w:rFonts w:ascii="Arial" w:cs="Arial" w:eastAsia="Arial" w:hAnsi="Arial"/>
          <w:b/>
          <w:bCs/>
          <w:color w:val="1F1E1E"/>
          <w:sz w:val="22"/>
          <w:szCs w:val="22"/>
        </w:rPr>
        <w:t xml:space="preserve">Young Adult (18–25)</w:t>
      </w:r>
      <w:r>
        <w:rPr>
          <w:rFonts w:ascii="Arial" w:cs="Arial" w:eastAsia="Arial" w:hAnsi="Arial"/>
          <w:color w:val="1F1E1E"/>
          <w:sz w:val="22"/>
          <w:szCs w:val="22"/>
        </w:rPr>
        <w:t xml:space="preserve"> with explicit `[MINOR]`, `[YA]`, and `[BOTH]` markers so each provision applies to the legally appropriate cohort.</w:t>
      </w:r>
    </w:p>
    <w:p>
      <w:pPr>
        <w:pStyle w:val="ListParagraph"/>
        <w:numPr>
          <w:ilvl w:val="0"/>
          <w:numId w:val="2"/>
        </w:numPr>
        <w:spacing w:after="40" w:before="40" w:line="300"/>
      </w:pPr>
      <w:r>
        <w:rPr>
          <w:rFonts w:ascii="Arial" w:cs="Arial" w:eastAsia="Arial" w:hAnsi="Arial"/>
          <w:color w:val="1F1E1E"/>
          <w:sz w:val="22"/>
          <w:szCs w:val="22"/>
        </w:rPr>
        <w:t xml:space="preserve">Added Texas SCOPE Act and Mandatory Reporting (Texas Family Code § 261) subsections for the Minor Youth cohort, cross-referenced to Policies No. 15 and No. 31.</w:t>
      </w:r>
    </w:p>
    <w:p>
      <w:pPr>
        <w:pStyle w:val="ListParagraph"/>
        <w:numPr>
          <w:ilvl w:val="0"/>
          <w:numId w:val="2"/>
        </w:numPr>
        <w:spacing w:after="40" w:before="40" w:line="300"/>
      </w:pPr>
      <w:r>
        <w:rPr>
          <w:rFonts w:ascii="Arial" w:cs="Arial" w:eastAsia="Arial" w:hAnsi="Arial"/>
          <w:color w:val="1F1E1E"/>
          <w:sz w:val="22"/>
          <w:szCs w:val="22"/>
        </w:rPr>
        <w:t xml:space="preserve">Added Workforce Development — Classification and Child Labor section invoking the DOL "primary beneficiary" test (Fact Sheet #71), FLSA 29 U.S.C. § 212, Texas Labor Code § 51, and the Hazardous Occupations Order (29 C.F.R. § 570).</w:t>
      </w:r>
    </w:p>
    <w:p>
      <w:pPr>
        <w:pStyle w:val="ListParagraph"/>
        <w:numPr>
          <w:ilvl w:val="0"/>
          <w:numId w:val="2"/>
        </w:numPr>
        <w:spacing w:after="40" w:before="40" w:line="300"/>
      </w:pPr>
      <w:r>
        <w:rPr>
          <w:rFonts w:ascii="Arial" w:cs="Arial" w:eastAsia="Arial" w:hAnsi="Arial"/>
          <w:color w:val="1F1E1E"/>
          <w:sz w:val="22"/>
          <w:szCs w:val="22"/>
        </w:rPr>
        <w:t xml:space="preserve">Added Acute-Distress Response Protocol with parental-notification path and 988 escalation.</w:t>
      </w:r>
    </w:p>
    <w:p>
      <w:pPr>
        <w:pStyle w:val="ListParagraph"/>
        <w:numPr>
          <w:ilvl w:val="0"/>
          <w:numId w:val="2"/>
        </w:numPr>
        <w:spacing w:after="40" w:before="40" w:line="300"/>
      </w:pPr>
      <w:r>
        <w:rPr>
          <w:rFonts w:ascii="Arial" w:cs="Arial" w:eastAsia="Arial" w:hAnsi="Arial"/>
          <w:color w:val="1F1E1E"/>
          <w:sz w:val="22"/>
          <w:szCs w:val="22"/>
        </w:rPr>
        <w:t xml:space="preserve">Implemented the ISO 4980:2023 Benefit-Risk Assessment with documentation, annual review, and Policy No. 33 cross-reference.</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1. Purpose</w:t>
      </w:r>
    </w:p>
    <w:p>
      <w:pPr>
        <w:spacing w:after="120" w:before="60" w:line="320"/>
        <w:jc w:val="both"/>
      </w:pPr>
      <w:r>
        <w:rPr>
          <w:rFonts w:ascii="Arial" w:cs="Arial" w:eastAsia="Arial" w:hAnsi="Arial"/>
          <w:color w:val="1F1E1E"/>
          <w:sz w:val="22"/>
          <w:szCs w:val="22"/>
        </w:rPr>
        <w:t xml:space="preserve">The Holon Foundation Garden Platform serves youth ages 13-25 through educational programs, workforce development, and recreational activities. This policy establishes safety standards for plant interactions, tool use, and health considerations specific to adolescent and young adult development.</w:t>
      </w:r>
    </w:p>
    <w:p>
      <w:pPr>
        <w:keepNext/>
        <w:spacing w:after="160" w:before="360"/>
      </w:pPr>
      <w:r>
        <w:rPr>
          <w:rFonts w:ascii="Arial" w:cs="Arial" w:eastAsia="Arial" w:hAnsi="Arial"/>
          <w:b/>
          <w:bCs/>
          <w:color w:val="561217"/>
          <w:sz w:val="26"/>
          <w:szCs w:val="26"/>
        </w:rPr>
        <w:t xml:space="preserve">2. Definitions and Scope</w:t>
      </w:r>
    </w:p>
    <w:p>
      <w:pPr>
        <w:pStyle w:val="ListParagraph"/>
        <w:numPr>
          <w:ilvl w:val="0"/>
          <w:numId w:val="2"/>
        </w:numPr>
        <w:spacing w:after="40" w:before="40" w:line="300"/>
      </w:pPr>
      <w:r>
        <w:rPr>
          <w:rFonts w:ascii="Arial" w:cs="Arial" w:eastAsia="Arial" w:hAnsi="Arial"/>
          <w:b/>
          <w:bCs/>
          <w:color w:val="1F1E1E"/>
          <w:sz w:val="22"/>
          <w:szCs w:val="22"/>
        </w:rPr>
        <w:t xml:space="preserve">Minor Youth</w:t>
      </w:r>
      <w:r>
        <w:rPr>
          <w:rFonts w:ascii="Arial" w:cs="Arial" w:eastAsia="Arial" w:hAnsi="Arial"/>
          <w:color w:val="1F1E1E"/>
          <w:sz w:val="22"/>
          <w:szCs w:val="22"/>
        </w:rPr>
        <w:t xml:space="preserve"> `[MINOR]`. An individual age 13 through 17 (minor under Texas law).</w:t>
      </w:r>
    </w:p>
    <w:p>
      <w:pPr>
        <w:pStyle w:val="ListParagraph"/>
        <w:numPr>
          <w:ilvl w:val="0"/>
          <w:numId w:val="2"/>
        </w:numPr>
        <w:spacing w:after="40" w:before="40" w:line="300"/>
      </w:pPr>
      <w:r>
        <w:rPr>
          <w:rFonts w:ascii="Arial" w:cs="Arial" w:eastAsia="Arial" w:hAnsi="Arial"/>
          <w:b/>
          <w:bCs/>
          <w:color w:val="1F1E1E"/>
          <w:sz w:val="22"/>
          <w:szCs w:val="22"/>
        </w:rPr>
        <w:t xml:space="preserve">Young Adult</w:t>
      </w:r>
      <w:r>
        <w:rPr>
          <w:rFonts w:ascii="Arial" w:cs="Arial" w:eastAsia="Arial" w:hAnsi="Arial"/>
          <w:color w:val="1F1E1E"/>
          <w:sz w:val="22"/>
          <w:szCs w:val="22"/>
        </w:rPr>
        <w:t xml:space="preserve"> `[YA]`. An individual age 18 through 25 (legally adult, but the developmental literature warrants tailored programming).</w:t>
      </w:r>
    </w:p>
    <w:p>
      <w:pPr>
        <w:pStyle w:val="ListParagraph"/>
        <w:numPr>
          <w:ilvl w:val="0"/>
          <w:numId w:val="2"/>
        </w:numPr>
        <w:spacing w:after="40" w:before="40" w:line="300"/>
      </w:pPr>
      <w:r>
        <w:rPr>
          <w:rFonts w:ascii="Arial" w:cs="Arial" w:eastAsia="Arial" w:hAnsi="Arial"/>
          <w:b/>
          <w:bCs/>
          <w:color w:val="1F1E1E"/>
          <w:sz w:val="22"/>
          <w:szCs w:val="22"/>
        </w:rPr>
        <w:t xml:space="preserve">Recreational Abuse Plants.</w:t>
      </w:r>
      <w:r>
        <w:rPr>
          <w:rFonts w:ascii="Arial" w:cs="Arial" w:eastAsia="Arial" w:hAnsi="Arial"/>
          <w:color w:val="1F1E1E"/>
          <w:sz w:val="22"/>
          <w:szCs w:val="22"/>
        </w:rPr>
        <w:t xml:space="preserve"> Plants with properties that may be sought for psychoactive effects (e.g., Datura, Angel's Trumpet, Morning Glory).</w:t>
      </w:r>
    </w:p>
    <w:p>
      <w:pPr>
        <w:pStyle w:val="ListParagraph"/>
        <w:numPr>
          <w:ilvl w:val="0"/>
          <w:numId w:val="2"/>
        </w:numPr>
        <w:spacing w:after="40" w:before="40" w:line="300"/>
      </w:pPr>
      <w:r>
        <w:rPr>
          <w:rFonts w:ascii="Arial" w:cs="Arial" w:eastAsia="Arial" w:hAnsi="Arial"/>
          <w:b/>
          <w:bCs/>
          <w:color w:val="1F1E1E"/>
          <w:sz w:val="22"/>
          <w:szCs w:val="22"/>
        </w:rPr>
        <w:t xml:space="preserve">Heat Illness.</w:t>
      </w:r>
      <w:r>
        <w:rPr>
          <w:rFonts w:ascii="Arial" w:cs="Arial" w:eastAsia="Arial" w:hAnsi="Arial"/>
          <w:color w:val="1F1E1E"/>
          <w:sz w:val="22"/>
          <w:szCs w:val="22"/>
        </w:rPr>
        <w:t xml:space="preserve"> A spectrum of conditions from heat cramps to heat stroke related to environmental temperature and physical exertion.</w:t>
      </w:r>
    </w:p>
    <w:p>
      <w:pPr>
        <w:pStyle w:val="ListParagraph"/>
        <w:numPr>
          <w:ilvl w:val="0"/>
          <w:numId w:val="2"/>
        </w:numPr>
        <w:spacing w:after="40" w:before="40" w:line="300"/>
      </w:pPr>
      <w:r>
        <w:rPr>
          <w:rFonts w:ascii="Arial" w:cs="Arial" w:eastAsia="Arial" w:hAnsi="Arial"/>
          <w:b/>
          <w:bCs/>
          <w:color w:val="1F1E1E"/>
          <w:sz w:val="22"/>
          <w:szCs w:val="22"/>
        </w:rPr>
        <w:t xml:space="preserve">Tool Safety.</w:t>
      </w:r>
      <w:r>
        <w:rPr>
          <w:rFonts w:ascii="Arial" w:cs="Arial" w:eastAsia="Arial" w:hAnsi="Arial"/>
          <w:color w:val="1F1E1E"/>
          <w:sz w:val="22"/>
          <w:szCs w:val="22"/>
        </w:rPr>
        <w:t xml:space="preserve"> Proper use and handling of gardening implements to prevent injury.</w:t>
      </w:r>
    </w:p>
    <w:p>
      <w:pPr>
        <w:spacing w:after="120" w:before="60" w:line="320"/>
        <w:jc w:val="both"/>
      </w:pPr>
      <w:r>
        <w:rPr>
          <w:rFonts w:ascii="Arial" w:cs="Arial" w:eastAsia="Arial" w:hAnsi="Arial"/>
          <w:color w:val="1F1E1E"/>
          <w:sz w:val="22"/>
          <w:szCs w:val="22"/>
        </w:rPr>
        <w:t xml:space="preserve">Provisions of this Policy marked `[MINOR]` apply only to Minor Youth. Provisions marked `[YA]` apply only to Young Adults. Provisions marked `[BOTH]` apply to all participants ages 13–25. Where this Policy is silent or conflicts with policies of more general applicability (No. 10 Code of Conduct, No. 20 Volunteer Management, No. 31 Child Safety), the more protective standard governs.</w:t>
      </w:r>
    </w:p>
    <w:p>
      <w:pPr>
        <w:keepNext/>
        <w:spacing w:after="160" w:before="360"/>
      </w:pPr>
      <w:r>
        <w:rPr>
          <w:rFonts w:ascii="Arial" w:cs="Arial" w:eastAsia="Arial" w:hAnsi="Arial"/>
          <w:b/>
          <w:bCs/>
          <w:color w:val="561217"/>
          <w:sz w:val="26"/>
          <w:szCs w:val="26"/>
        </w:rPr>
        <w:t xml:space="preserve">3. Privacy and Reporting Obligations `[MINOR]`</w:t>
      </w:r>
    </w:p>
    <w:p>
      <w:pPr>
        <w:keepNext/>
        <w:spacing w:after="120" w:before="240"/>
      </w:pPr>
      <w:r>
        <w:rPr>
          <w:rFonts w:ascii="Arial" w:cs="Arial" w:eastAsia="Arial" w:hAnsi="Arial"/>
          <w:b/>
          <w:bCs/>
          <w:color w:val="3B5937"/>
          <w:sz w:val="22"/>
          <w:szCs w:val="22"/>
        </w:rPr>
        <w:t xml:space="preserve">3.a SCOPE Act and Data Protections</w:t>
      </w:r>
    </w:p>
    <w:p>
      <w:pPr>
        <w:spacing w:after="120" w:before="60" w:line="320"/>
        <w:jc w:val="both"/>
      </w:pPr>
      <w:r>
        <w:rPr>
          <w:rFonts w:ascii="Arial" w:cs="Arial" w:eastAsia="Arial" w:hAnsi="Arial"/>
          <w:color w:val="1F1E1E"/>
          <w:sz w:val="22"/>
          <w:szCs w:val="22"/>
        </w:rPr>
        <w:t xml:space="preserve">The Foundation's collection, processing, and disclosure of personal data of Minor Youth (13–17) complies with the Texas SCOPE Act, Bus. &amp; Com. Code Ch. 509. Default privacy is set to the most protective level; targeted advertising based on personal data of known minors is prohibited; verifiable parental consent is obtained before data collection or processing beyond what is strictly necessary to provide the requested service. Specifics in Holon Foundation Policy No. 15 (Data Privacy and Security).</w:t>
      </w:r>
    </w:p>
    <w:p>
      <w:pPr>
        <w:keepNext/>
        <w:spacing w:after="120" w:before="240"/>
      </w:pPr>
      <w:r>
        <w:rPr>
          <w:rFonts w:ascii="Arial" w:cs="Arial" w:eastAsia="Arial" w:hAnsi="Arial"/>
          <w:b/>
          <w:bCs/>
          <w:color w:val="3B5937"/>
          <w:sz w:val="22"/>
          <w:szCs w:val="22"/>
        </w:rPr>
        <w:t xml:space="preserve">3.b Mandatory Reporting of Abuse or Neglect</w:t>
      </w:r>
    </w:p>
    <w:p>
      <w:pPr>
        <w:spacing w:after="120" w:before="60" w:line="320"/>
        <w:jc w:val="both"/>
      </w:pPr>
      <w:r>
        <w:rPr>
          <w:rFonts w:ascii="Arial" w:cs="Arial" w:eastAsia="Arial" w:hAnsi="Arial"/>
          <w:color w:val="1F1E1E"/>
          <w:sz w:val="22"/>
          <w:szCs w:val="22"/>
        </w:rPr>
        <w:t xml:space="preserve">Any person aware of suspected abuse or neglect of a Minor Youth shall report immediately under Texas Family Code § 261.101 (see Holon Foundation Policy No. 31, Child Safety Policy, § 8). The duty applies to Foundation directors, staff, volunteers, and program participants without exception.</w:t>
      </w:r>
    </w:p>
    <w:p>
      <w:pPr>
        <w:keepNext/>
        <w:spacing w:after="160" w:before="360"/>
      </w:pPr>
      <w:r>
        <w:rPr>
          <w:rFonts w:ascii="Arial" w:cs="Arial" w:eastAsia="Arial" w:hAnsi="Arial"/>
          <w:b/>
          <w:bCs/>
          <w:color w:val="561217"/>
          <w:sz w:val="26"/>
          <w:szCs w:val="26"/>
        </w:rPr>
        <w:t xml:space="preserve">4. Recreational Abuse Plant Exclusions `[BOTH]`</w:t>
      </w:r>
    </w:p>
    <w:p>
      <w:pPr>
        <w:spacing w:after="120" w:before="60" w:line="320"/>
        <w:jc w:val="both"/>
      </w:pPr>
      <w:r>
        <w:rPr>
          <w:rFonts w:ascii="Arial" w:cs="Arial" w:eastAsia="Arial" w:hAnsi="Arial"/>
          <w:color w:val="1F1E1E"/>
          <w:sz w:val="22"/>
          <w:szCs w:val="22"/>
        </w:rPr>
        <w:t xml:space="preserve">The following plants are excluded from all Holon Foundation gardens due to psychoactive properties and abuse potential:</w:t>
      </w:r>
    </w:p>
    <w:p>
      <w:pPr>
        <w:pStyle w:val="ListParagraph"/>
        <w:numPr>
          <w:ilvl w:val="0"/>
          <w:numId w:val="2"/>
        </w:numPr>
        <w:spacing w:after="40" w:before="40" w:line="300"/>
      </w:pPr>
      <w:r>
        <w:rPr>
          <w:rFonts w:ascii="Arial" w:cs="Arial" w:eastAsia="Arial" w:hAnsi="Arial"/>
          <w:color w:val="1F1E1E"/>
          <w:sz w:val="22"/>
          <w:szCs w:val="22"/>
        </w:rPr>
        <w:t xml:space="preserve">Datura species (Jimsonweed)</w:t>
      </w:r>
    </w:p>
    <w:p>
      <w:pPr>
        <w:pStyle w:val="ListParagraph"/>
        <w:numPr>
          <w:ilvl w:val="0"/>
          <w:numId w:val="2"/>
        </w:numPr>
        <w:spacing w:after="40" w:before="40" w:line="300"/>
      </w:pPr>
      <w:r>
        <w:rPr>
          <w:rFonts w:ascii="Arial" w:cs="Arial" w:eastAsia="Arial" w:hAnsi="Arial"/>
          <w:color w:val="1F1E1E"/>
          <w:sz w:val="22"/>
          <w:szCs w:val="22"/>
        </w:rPr>
        <w:t xml:space="preserve">Angel's Trumpet (Brugmansia species)</w:t>
      </w:r>
    </w:p>
    <w:p>
      <w:pPr>
        <w:pStyle w:val="ListParagraph"/>
        <w:numPr>
          <w:ilvl w:val="0"/>
          <w:numId w:val="2"/>
        </w:numPr>
        <w:spacing w:after="40" w:before="40" w:line="300"/>
      </w:pPr>
      <w:r>
        <w:rPr>
          <w:rFonts w:ascii="Arial" w:cs="Arial" w:eastAsia="Arial" w:hAnsi="Arial"/>
          <w:color w:val="1F1E1E"/>
          <w:sz w:val="22"/>
          <w:szCs w:val="22"/>
        </w:rPr>
        <w:t xml:space="preserve">Morning Glory (Ipomoea species with lysergic acid derivatives)</w:t>
      </w:r>
    </w:p>
    <w:p>
      <w:pPr>
        <w:spacing w:after="120" w:before="60" w:line="320"/>
        <w:jc w:val="both"/>
      </w:pPr>
      <w:r>
        <w:rPr>
          <w:rFonts w:ascii="Arial" w:cs="Arial" w:eastAsia="Arial" w:hAnsi="Arial"/>
          <w:color w:val="1F1E1E"/>
          <w:sz w:val="22"/>
          <w:szCs w:val="22"/>
        </w:rPr>
        <w:t xml:space="preserve">Youth participants are educated about the serious dangers of substance abuse and are prohibited from attempting to use any plants for recreational purposes.</w:t>
      </w:r>
    </w:p>
    <w:p>
      <w:pPr>
        <w:keepNext/>
        <w:spacing w:after="160" w:before="360"/>
      </w:pPr>
      <w:r>
        <w:rPr>
          <w:rFonts w:ascii="Arial" w:cs="Arial" w:eastAsia="Arial" w:hAnsi="Arial"/>
          <w:b/>
          <w:bCs/>
          <w:color w:val="561217"/>
          <w:sz w:val="26"/>
          <w:szCs w:val="26"/>
        </w:rPr>
        <w:t xml:space="preserve">5. Tool Safety Protocols `[BOTH]`</w:t>
      </w:r>
    </w:p>
    <w:p>
      <w:pPr>
        <w:spacing w:after="120" w:before="60" w:line="320"/>
        <w:jc w:val="both"/>
      </w:pPr>
      <w:r>
        <w:rPr>
          <w:rFonts w:ascii="Arial" w:cs="Arial" w:eastAsia="Arial" w:hAnsi="Arial"/>
          <w:color w:val="1F1E1E"/>
          <w:sz w:val="22"/>
          <w:szCs w:val="22"/>
        </w:rPr>
        <w:t xml:space="preserve">All youth using gardening tools must:</w:t>
      </w:r>
    </w:p>
    <w:p>
      <w:pPr>
        <w:pStyle w:val="ListParagraph"/>
        <w:numPr>
          <w:ilvl w:val="0"/>
          <w:numId w:val="2"/>
        </w:numPr>
        <w:spacing w:after="40" w:before="40" w:line="300"/>
      </w:pPr>
      <w:r>
        <w:rPr>
          <w:rFonts w:ascii="Arial" w:cs="Arial" w:eastAsia="Arial" w:hAnsi="Arial"/>
          <w:color w:val="1F1E1E"/>
          <w:sz w:val="22"/>
          <w:szCs w:val="22"/>
        </w:rPr>
        <w:t xml:space="preserve">Complete tool safety training before unsupervised use</w:t>
      </w:r>
    </w:p>
    <w:p>
      <w:pPr>
        <w:pStyle w:val="ListParagraph"/>
        <w:numPr>
          <w:ilvl w:val="0"/>
          <w:numId w:val="2"/>
        </w:numPr>
        <w:spacing w:after="40" w:before="40" w:line="300"/>
      </w:pPr>
      <w:r>
        <w:rPr>
          <w:rFonts w:ascii="Arial" w:cs="Arial" w:eastAsia="Arial" w:hAnsi="Arial"/>
          <w:color w:val="1F1E1E"/>
          <w:sz w:val="22"/>
          <w:szCs w:val="22"/>
        </w:rPr>
        <w:t xml:space="preserve">Wear appropriate protective equipment (closed-toe shoes, gloves, eye protection)</w:t>
      </w:r>
    </w:p>
    <w:p>
      <w:pPr>
        <w:pStyle w:val="ListParagraph"/>
        <w:numPr>
          <w:ilvl w:val="0"/>
          <w:numId w:val="2"/>
        </w:numPr>
        <w:spacing w:after="40" w:before="40" w:line="300"/>
      </w:pPr>
      <w:r>
        <w:rPr>
          <w:rFonts w:ascii="Arial" w:cs="Arial" w:eastAsia="Arial" w:hAnsi="Arial"/>
          <w:color w:val="1F1E1E"/>
          <w:sz w:val="22"/>
          <w:szCs w:val="22"/>
        </w:rPr>
        <w:t xml:space="preserve">Demonstrate proper technique under instructor supervision</w:t>
      </w:r>
    </w:p>
    <w:p>
      <w:pPr>
        <w:pStyle w:val="ListParagraph"/>
        <w:numPr>
          <w:ilvl w:val="0"/>
          <w:numId w:val="2"/>
        </w:numPr>
        <w:spacing w:after="40" w:before="40" w:line="300"/>
      </w:pPr>
      <w:r>
        <w:rPr>
          <w:rFonts w:ascii="Arial" w:cs="Arial" w:eastAsia="Arial" w:hAnsi="Arial"/>
          <w:color w:val="1F1E1E"/>
          <w:sz w:val="22"/>
          <w:szCs w:val="22"/>
        </w:rPr>
        <w:t xml:space="preserve">Report any injuries immediately to program staff</w:t>
      </w:r>
    </w:p>
    <w:p>
      <w:pPr>
        <w:keepNext/>
        <w:spacing w:after="160" w:before="360"/>
      </w:pPr>
      <w:r>
        <w:rPr>
          <w:rFonts w:ascii="Arial" w:cs="Arial" w:eastAsia="Arial" w:hAnsi="Arial"/>
          <w:b/>
          <w:bCs/>
          <w:color w:val="561217"/>
          <w:sz w:val="26"/>
          <w:szCs w:val="26"/>
        </w:rPr>
        <w:t xml:space="preserve">6. Heat Illness Prevention and Protocols `[BOTH]`</w:t>
      </w:r>
    </w:p>
    <w:p>
      <w:pPr>
        <w:spacing w:after="120" w:before="60" w:line="320"/>
        <w:jc w:val="both"/>
      </w:pPr>
      <w:r>
        <w:rPr>
          <w:rFonts w:ascii="Arial" w:cs="Arial" w:eastAsia="Arial" w:hAnsi="Arial"/>
          <w:color w:val="1F1E1E"/>
          <w:sz w:val="22"/>
          <w:szCs w:val="22"/>
        </w:rPr>
        <w:t xml:space="preserve">Heat-related illness is a significant risk in outdoor gardening activities. Prevention measures include:</w:t>
      </w:r>
    </w:p>
    <w:p>
      <w:pPr>
        <w:pStyle w:val="ListParagraph"/>
        <w:numPr>
          <w:ilvl w:val="0"/>
          <w:numId w:val="2"/>
        </w:numPr>
        <w:spacing w:after="40" w:before="40" w:line="300"/>
      </w:pPr>
      <w:r>
        <w:rPr>
          <w:rFonts w:ascii="Arial" w:cs="Arial" w:eastAsia="Arial" w:hAnsi="Arial"/>
          <w:color w:val="1F1E1E"/>
          <w:sz w:val="22"/>
          <w:szCs w:val="22"/>
        </w:rPr>
        <w:t xml:space="preserve">Limiting outdoor activity during peak heat hours (10 AM - 4 PM during summer)</w:t>
      </w:r>
    </w:p>
    <w:p>
      <w:pPr>
        <w:pStyle w:val="ListParagraph"/>
        <w:numPr>
          <w:ilvl w:val="0"/>
          <w:numId w:val="2"/>
        </w:numPr>
        <w:spacing w:after="40" w:before="40" w:line="300"/>
      </w:pPr>
      <w:r>
        <w:rPr>
          <w:rFonts w:ascii="Arial" w:cs="Arial" w:eastAsia="Arial" w:hAnsi="Arial"/>
          <w:color w:val="1F1E1E"/>
          <w:sz w:val="22"/>
          <w:szCs w:val="22"/>
        </w:rPr>
        <w:t xml:space="preserve">Requiring frequent hydration breaks (8 oz water every 15-20 minutes)</w:t>
      </w:r>
    </w:p>
    <w:p>
      <w:pPr>
        <w:pStyle w:val="ListParagraph"/>
        <w:numPr>
          <w:ilvl w:val="0"/>
          <w:numId w:val="2"/>
        </w:numPr>
        <w:spacing w:after="40" w:before="40" w:line="300"/>
      </w:pPr>
      <w:r>
        <w:rPr>
          <w:rFonts w:ascii="Arial" w:cs="Arial" w:eastAsia="Arial" w:hAnsi="Arial"/>
          <w:color w:val="1F1E1E"/>
          <w:sz w:val="22"/>
          <w:szCs w:val="22"/>
        </w:rPr>
        <w:t xml:space="preserve">Providing shaded rest areas</w:t>
      </w:r>
    </w:p>
    <w:p>
      <w:pPr>
        <w:pStyle w:val="ListParagraph"/>
        <w:numPr>
          <w:ilvl w:val="0"/>
          <w:numId w:val="2"/>
        </w:numPr>
        <w:spacing w:after="40" w:before="40" w:line="300"/>
      </w:pPr>
      <w:r>
        <w:rPr>
          <w:rFonts w:ascii="Arial" w:cs="Arial" w:eastAsia="Arial" w:hAnsi="Arial"/>
          <w:color w:val="1F1E1E"/>
          <w:sz w:val="22"/>
          <w:szCs w:val="22"/>
        </w:rPr>
        <w:t xml:space="preserve">Monitoring participants for heat exhaustion symptoms</w:t>
      </w:r>
    </w:p>
    <w:p>
      <w:pPr>
        <w:spacing w:after="120" w:before="60" w:line="320"/>
        <w:jc w:val="both"/>
      </w:pPr>
      <w:r>
        <w:rPr>
          <w:rFonts w:ascii="Arial" w:cs="Arial" w:eastAsia="Arial" w:hAnsi="Arial"/>
          <w:color w:val="1F1E1E"/>
          <w:sz w:val="22"/>
          <w:szCs w:val="22"/>
        </w:rPr>
        <w:t xml:space="preserve">Heat illness symptoms include dizziness, nausea, excessive sweating, and confusion. If heat illness is suspected, move the individual to shade, provide water, and seek medical attention if symptoms persist.</w:t>
      </w:r>
    </w:p>
    <w:p>
      <w:pPr>
        <w:keepNext/>
        <w:spacing w:after="160" w:before="360"/>
      </w:pPr>
      <w:r>
        <w:rPr>
          <w:rFonts w:ascii="Arial" w:cs="Arial" w:eastAsia="Arial" w:hAnsi="Arial"/>
          <w:b/>
          <w:bCs/>
          <w:color w:val="561217"/>
          <w:sz w:val="26"/>
          <w:szCs w:val="26"/>
        </w:rPr>
        <w:t xml:space="preserve">7. Workforce Development — Classification and Child Labor `[MINOR]`</w:t>
      </w:r>
    </w:p>
    <w:p>
      <w:pPr>
        <w:spacing w:after="120" w:before="60" w:line="320"/>
        <w:jc w:val="both"/>
      </w:pPr>
      <w:r>
        <w:rPr>
          <w:rFonts w:ascii="Arial" w:cs="Arial" w:eastAsia="Arial" w:hAnsi="Arial"/>
          <w:color w:val="1F1E1E"/>
          <w:sz w:val="22"/>
          <w:szCs w:val="22"/>
        </w:rPr>
        <w:t xml:space="preserve">Workforce development opportunities provided to Minor Youth shall be structured as one of:</w:t>
      </w:r>
    </w:p>
    <w:p>
      <w:pPr>
        <w:spacing w:after="120" w:before="60" w:line="320"/>
        <w:jc w:val="both"/>
      </w:pPr>
      <w:r>
        <w:rPr>
          <w:rFonts w:ascii="Arial" w:cs="Arial" w:eastAsia="Arial" w:hAnsi="Arial"/>
          <w:color w:val="1F1E1E"/>
          <w:sz w:val="22"/>
          <w:szCs w:val="22"/>
        </w:rPr>
        <w:t xml:space="preserve">(a) supervised volunteer activity (no compensation, no displacement of paid employees, primary benefit to participant);</w:t>
      </w:r>
    </w:p>
    <w:p>
      <w:pPr>
        <w:spacing w:after="120" w:before="60" w:line="320"/>
        <w:jc w:val="both"/>
      </w:pPr>
      <w:r>
        <w:rPr>
          <w:rFonts w:ascii="Arial" w:cs="Arial" w:eastAsia="Arial" w:hAnsi="Arial"/>
          <w:color w:val="1F1E1E"/>
          <w:sz w:val="22"/>
          <w:szCs w:val="22"/>
        </w:rPr>
        <w:t xml:space="preserve">(b) educational internship satisfying the DOL six-factor "primary beneficiary" test per Fact Sheet #71; or</w:t>
      </w:r>
    </w:p>
    <w:p>
      <w:pPr>
        <w:spacing w:after="120" w:before="60" w:line="320"/>
        <w:jc w:val="both"/>
      </w:pPr>
      <w:r>
        <w:rPr>
          <w:rFonts w:ascii="Arial" w:cs="Arial" w:eastAsia="Arial" w:hAnsi="Arial"/>
          <w:color w:val="1F1E1E"/>
          <w:sz w:val="22"/>
          <w:szCs w:val="22"/>
        </w:rPr>
        <w:t xml:space="preserve">(c) compensated employment subject to FLSA child-labor rules (29 U.S.C. § 212), Texas Labor Code § 51, and the Hazardous Occupations Order (29 C.F.R. § 570).</w:t>
      </w:r>
    </w:p>
    <w:p>
      <w:pPr>
        <w:spacing w:after="120" w:before="60" w:line="320"/>
        <w:jc w:val="both"/>
      </w:pPr>
      <w:r>
        <w:rPr>
          <w:rFonts w:ascii="Arial" w:cs="Arial" w:eastAsia="Arial" w:hAnsi="Arial"/>
          <w:b/>
          <w:bCs/>
          <w:color w:val="1F1E1E"/>
          <w:sz w:val="22"/>
          <w:szCs w:val="22"/>
        </w:rPr>
        <w:t xml:space="preserve">For compensated minors:</w:t>
      </w:r>
    </w:p>
    <w:p>
      <w:pPr>
        <w:spacing w:after="120" w:before="60" w:line="320"/>
        <w:jc w:val="both"/>
      </w:pPr>
      <w:r>
        <w:rPr>
          <w:rFonts w:ascii="Arial" w:cs="Arial" w:eastAsia="Arial" w:hAnsi="Arial"/>
          <w:color w:val="1F1E1E"/>
          <w:sz w:val="22"/>
          <w:szCs w:val="22"/>
        </w:rPr>
        <w:t xml:space="preserve">(i) </w:t>
      </w:r>
      <w:r>
        <w:rPr>
          <w:rFonts w:ascii="Arial" w:cs="Arial" w:eastAsia="Arial" w:hAnsi="Arial"/>
          <w:b/>
          <w:bCs/>
          <w:color w:val="1F1E1E"/>
          <w:sz w:val="22"/>
          <w:szCs w:val="22"/>
        </w:rPr>
        <w:t xml:space="preserve">Age 14–15:</w:t>
      </w:r>
      <w:r>
        <w:rPr>
          <w:rFonts w:ascii="Arial" w:cs="Arial" w:eastAsia="Arial" w:hAnsi="Arial"/>
          <w:color w:val="1F1E1E"/>
          <w:sz w:val="22"/>
          <w:szCs w:val="22"/>
        </w:rPr>
        <w:t xml:space="preserve"> maximum 3 hours per school day, 18 hours per school week, 8 hours per non-school day, 40 hours per non-school week; not before 7am or after 7pm (9pm summer).</w:t>
      </w:r>
    </w:p>
    <w:p>
      <w:pPr>
        <w:spacing w:after="120" w:before="60" w:line="320"/>
        <w:jc w:val="both"/>
      </w:pPr>
      <w:r>
        <w:rPr>
          <w:rFonts w:ascii="Arial" w:cs="Arial" w:eastAsia="Arial" w:hAnsi="Arial"/>
          <w:color w:val="1F1E1E"/>
          <w:sz w:val="22"/>
          <w:szCs w:val="22"/>
        </w:rPr>
        <w:t xml:space="preserve">(ii) </w:t>
      </w:r>
      <w:r>
        <w:rPr>
          <w:rFonts w:ascii="Arial" w:cs="Arial" w:eastAsia="Arial" w:hAnsi="Arial"/>
          <w:b/>
          <w:bCs/>
          <w:color w:val="1F1E1E"/>
          <w:sz w:val="22"/>
          <w:szCs w:val="22"/>
        </w:rPr>
        <w:t xml:space="preserve">Age 16–17:</w:t>
      </w:r>
      <w:r>
        <w:rPr>
          <w:rFonts w:ascii="Arial" w:cs="Arial" w:eastAsia="Arial" w:hAnsi="Arial"/>
          <w:color w:val="1F1E1E"/>
          <w:sz w:val="22"/>
          <w:szCs w:val="22"/>
        </w:rPr>
        <w:t xml:space="preserve"> no maximum hours under federal law; Texas Labor Code § 51.013 prohibits work in "hazardous occupations."</w:t>
      </w:r>
    </w:p>
    <w:p>
      <w:pPr>
        <w:spacing w:after="120" w:before="60" w:line="320"/>
        <w:jc w:val="both"/>
      </w:pPr>
      <w:r>
        <w:rPr>
          <w:rFonts w:ascii="Arial" w:cs="Arial" w:eastAsia="Arial" w:hAnsi="Arial"/>
          <w:color w:val="1F1E1E"/>
          <w:sz w:val="22"/>
          <w:szCs w:val="22"/>
        </w:rPr>
        <w:t xml:space="preserve">The Foundation shall not employ or assign Minor Youth to any hazardous occupation listed at 29 C.F.R. § 570 Subpart E (including operation of power tools, work at heights, transportation of hazardous materials).</w:t>
      </w:r>
    </w:p>
    <w:p>
      <w:pPr>
        <w:spacing w:after="120" w:before="60" w:line="320"/>
        <w:jc w:val="both"/>
      </w:pPr>
      <w:r>
        <w:rPr>
          <w:rFonts w:ascii="Arial" w:cs="Arial" w:eastAsia="Arial" w:hAnsi="Arial"/>
          <w:color w:val="1F1E1E"/>
          <w:sz w:val="22"/>
          <w:szCs w:val="22"/>
        </w:rPr>
        <w:t xml:space="preserve">Workforce program participants and parents shall receive a written description of the program structure and child-labor obligations at enrollment.</w:t>
      </w:r>
    </w:p>
    <w:p>
      <w:pPr>
        <w:keepNext/>
        <w:spacing w:after="120" w:before="240"/>
      </w:pPr>
      <w:r>
        <w:rPr>
          <w:rFonts w:ascii="Arial" w:cs="Arial" w:eastAsia="Arial" w:hAnsi="Arial"/>
          <w:b/>
          <w:bCs/>
          <w:color w:val="3B5937"/>
          <w:sz w:val="22"/>
          <w:szCs w:val="22"/>
        </w:rPr>
        <w:t xml:space="preserve">Workforce Development Safety `[BOTH]`</w:t>
      </w:r>
    </w:p>
    <w:p>
      <w:pPr>
        <w:spacing w:after="120" w:before="60" w:line="320"/>
        <w:jc w:val="both"/>
      </w:pPr>
      <w:r>
        <w:rPr>
          <w:rFonts w:ascii="Arial" w:cs="Arial" w:eastAsia="Arial" w:hAnsi="Arial"/>
          <w:color w:val="1F1E1E"/>
          <w:sz w:val="22"/>
          <w:szCs w:val="22"/>
        </w:rPr>
        <w:t xml:space="preserve">Youth participating in workforce development programs must:</w:t>
      </w:r>
    </w:p>
    <w:p>
      <w:pPr>
        <w:pStyle w:val="ListParagraph"/>
        <w:numPr>
          <w:ilvl w:val="0"/>
          <w:numId w:val="2"/>
        </w:numPr>
        <w:spacing w:after="40" w:before="40" w:line="300"/>
      </w:pPr>
      <w:r>
        <w:rPr>
          <w:rFonts w:ascii="Arial" w:cs="Arial" w:eastAsia="Arial" w:hAnsi="Arial"/>
          <w:color w:val="1F1E1E"/>
          <w:sz w:val="22"/>
          <w:szCs w:val="22"/>
        </w:rPr>
        <w:t xml:space="preserve">Comply with all tool safety and site safety requirements</w:t>
      </w:r>
    </w:p>
    <w:p>
      <w:pPr>
        <w:pStyle w:val="ListParagraph"/>
        <w:numPr>
          <w:ilvl w:val="0"/>
          <w:numId w:val="2"/>
        </w:numPr>
        <w:spacing w:after="40" w:before="40" w:line="300"/>
      </w:pPr>
      <w:r>
        <w:rPr>
          <w:rFonts w:ascii="Arial" w:cs="Arial" w:eastAsia="Arial" w:hAnsi="Arial"/>
          <w:color w:val="1F1E1E"/>
          <w:sz w:val="22"/>
          <w:szCs w:val="22"/>
        </w:rPr>
        <w:t xml:space="preserve">Report injuries and unsafe conditions to supervisors</w:t>
      </w:r>
    </w:p>
    <w:p>
      <w:pPr>
        <w:pStyle w:val="ListParagraph"/>
        <w:numPr>
          <w:ilvl w:val="0"/>
          <w:numId w:val="2"/>
        </w:numPr>
        <w:spacing w:after="40" w:before="40" w:line="300"/>
      </w:pPr>
      <w:r>
        <w:rPr>
          <w:rFonts w:ascii="Arial" w:cs="Arial" w:eastAsia="Arial" w:hAnsi="Arial"/>
          <w:color w:val="1F1E1E"/>
          <w:sz w:val="22"/>
          <w:szCs w:val="22"/>
        </w:rPr>
        <w:t xml:space="preserve">Understand that participation does not constitute employment (unless explicitly structured under (c) above)</w:t>
      </w:r>
    </w:p>
    <w:p>
      <w:pPr>
        <w:pStyle w:val="ListParagraph"/>
        <w:numPr>
          <w:ilvl w:val="0"/>
          <w:numId w:val="2"/>
        </w:numPr>
        <w:spacing w:after="40" w:before="40" w:line="300"/>
      </w:pPr>
      <w:r>
        <w:rPr>
          <w:rFonts w:ascii="Arial" w:cs="Arial" w:eastAsia="Arial" w:hAnsi="Arial"/>
          <w:color w:val="1F1E1E"/>
          <w:sz w:val="22"/>
          <w:szCs w:val="22"/>
        </w:rPr>
        <w:t xml:space="preserve">Maintain physical fitness appropriate to assigned tasks</w:t>
      </w:r>
    </w:p>
    <w:p>
      <w:pPr>
        <w:keepNext/>
        <w:spacing w:after="160" w:before="360"/>
      </w:pPr>
      <w:r>
        <w:rPr>
          <w:rFonts w:ascii="Arial" w:cs="Arial" w:eastAsia="Arial" w:hAnsi="Arial"/>
          <w:b/>
          <w:bCs/>
          <w:color w:val="561217"/>
          <w:sz w:val="26"/>
          <w:szCs w:val="26"/>
        </w:rPr>
        <w:t xml:space="preserve">8. Mental Health Disclaimers `[BOTH]`</w:t>
      </w:r>
    </w:p>
    <w:p>
      <w:pPr>
        <w:spacing w:after="120" w:before="60" w:line="320"/>
        <w:jc w:val="both"/>
      </w:pPr>
      <w:r>
        <w:rPr>
          <w:rFonts w:ascii="Arial" w:cs="Arial" w:eastAsia="Arial" w:hAnsi="Arial"/>
          <w:color w:val="1F1E1E"/>
          <w:sz w:val="22"/>
          <w:szCs w:val="22"/>
        </w:rPr>
        <w:t xml:space="preserve">While gardening provides numerous benefits, including potential stress reduction and improved mood, the Holon Foundation does NOT provide mental health treatment or therapy. Claims about stress reduction, cortisol reduction, or attentional restoration are educational only and are not substitutes for professional mental health care.</w:t>
      </w:r>
    </w:p>
    <w:p>
      <w:pPr>
        <w:spacing w:after="120" w:before="60" w:line="320"/>
        <w:jc w:val="both"/>
      </w:pPr>
      <w:r>
        <w:rPr>
          <w:rFonts w:ascii="Arial" w:cs="Arial" w:eastAsia="Arial" w:hAnsi="Arial"/>
          <w:color w:val="1F1E1E"/>
          <w:sz w:val="22"/>
          <w:szCs w:val="22"/>
        </w:rPr>
        <w:t xml:space="preserve">References to Attention Restoration Theory (ART) and horticultural therapy are provided for educational purposes only. Youth experiencing mental health concerns should consult a licensed mental health professional.</w:t>
      </w:r>
    </w:p>
    <w:p>
      <w:pPr>
        <w:keepNext/>
        <w:spacing w:after="120" w:before="240"/>
      </w:pPr>
      <w:r>
        <w:rPr>
          <w:rFonts w:ascii="Arial" w:cs="Arial" w:eastAsia="Arial" w:hAnsi="Arial"/>
          <w:b/>
          <w:bCs/>
          <w:color w:val="3B5937"/>
          <w:sz w:val="22"/>
          <w:szCs w:val="22"/>
        </w:rPr>
        <w:t xml:space="preserve">8.b Acute-Distress Response Protocol</w:t>
      </w:r>
    </w:p>
    <w:p>
      <w:pPr>
        <w:spacing w:after="120" w:before="60" w:line="320"/>
        <w:jc w:val="both"/>
      </w:pPr>
      <w:r>
        <w:rPr>
          <w:rFonts w:ascii="Arial" w:cs="Arial" w:eastAsia="Arial" w:hAnsi="Arial"/>
          <w:color w:val="1F1E1E"/>
          <w:sz w:val="22"/>
          <w:szCs w:val="22"/>
        </w:rPr>
        <w:t xml:space="preserve">When a Minor Youth or Young Adult exhibits acute mental health distress (including suicidal ideation, self-harm, panic, or apparent intoxication) during a Foundation program, staff and volunteers shall:</w:t>
      </w:r>
    </w:p>
    <w:p>
      <w:pPr>
        <w:spacing w:after="120" w:before="60" w:line="320"/>
        <w:jc w:val="both"/>
      </w:pPr>
      <w:r>
        <w:rPr>
          <w:rFonts w:ascii="Arial" w:cs="Arial" w:eastAsia="Arial" w:hAnsi="Arial"/>
          <w:color w:val="1F1E1E"/>
          <w:sz w:val="22"/>
          <w:szCs w:val="22"/>
        </w:rPr>
        <w:t xml:space="preserve">(a) ensure immediate physical safety (move to private space, remove access to means of harm);</w:t>
      </w:r>
    </w:p>
    <w:p>
      <w:pPr>
        <w:spacing w:after="120" w:before="60" w:line="320"/>
        <w:jc w:val="both"/>
      </w:pPr>
      <w:r>
        <w:rPr>
          <w:rFonts w:ascii="Arial" w:cs="Arial" w:eastAsia="Arial" w:hAnsi="Arial"/>
          <w:color w:val="1F1E1E"/>
          <w:sz w:val="22"/>
          <w:szCs w:val="22"/>
        </w:rPr>
        <w:t xml:space="preserve">(b) stay with the person;</w:t>
      </w:r>
    </w:p>
    <w:p>
      <w:pPr>
        <w:spacing w:after="120" w:before="60" w:line="320"/>
        <w:jc w:val="both"/>
      </w:pPr>
      <w:r>
        <w:rPr>
          <w:rFonts w:ascii="Arial" w:cs="Arial" w:eastAsia="Arial" w:hAnsi="Arial"/>
          <w:color w:val="1F1E1E"/>
          <w:sz w:val="22"/>
          <w:szCs w:val="22"/>
        </w:rPr>
        <w:t xml:space="preserve">(c) for minors: contact the parent or guardian using emergency contact information;</w:t>
      </w:r>
    </w:p>
    <w:p>
      <w:pPr>
        <w:spacing w:after="120" w:before="60" w:line="320"/>
        <w:jc w:val="both"/>
      </w:pPr>
      <w:r>
        <w:rPr>
          <w:rFonts w:ascii="Arial" w:cs="Arial" w:eastAsia="Arial" w:hAnsi="Arial"/>
          <w:color w:val="1F1E1E"/>
          <w:sz w:val="22"/>
          <w:szCs w:val="22"/>
        </w:rPr>
        <w:t xml:space="preserve">(d) where the person communicates suicidal intent or imminent self-harm, contact 988 Suicide &amp; Crisis Lifeline or 911 as appropriate;</w:t>
      </w:r>
    </w:p>
    <w:p>
      <w:pPr>
        <w:spacing w:after="120" w:before="60" w:line="320"/>
        <w:jc w:val="both"/>
      </w:pPr>
      <w:r>
        <w:rPr>
          <w:rFonts w:ascii="Arial" w:cs="Arial" w:eastAsia="Arial" w:hAnsi="Arial"/>
          <w:color w:val="1F1E1E"/>
          <w:sz w:val="22"/>
          <w:szCs w:val="22"/>
        </w:rPr>
        <w:t xml:space="preserve">(e) for active threat, contact 911;</w:t>
      </w:r>
    </w:p>
    <w:p>
      <w:pPr>
        <w:spacing w:after="120" w:before="60" w:line="320"/>
        <w:jc w:val="both"/>
      </w:pPr>
      <w:r>
        <w:rPr>
          <w:rFonts w:ascii="Arial" w:cs="Arial" w:eastAsia="Arial" w:hAnsi="Arial"/>
          <w:color w:val="1F1E1E"/>
          <w:sz w:val="22"/>
          <w:szCs w:val="22"/>
        </w:rPr>
        <w:t xml:space="preserve">(f) report the incident under Holon Foundation Policy No. 33 (Incident Reporting) within 24 hours.</w:t>
      </w:r>
    </w:p>
    <w:p>
      <w:pPr>
        <w:spacing w:after="120" w:before="60" w:line="320"/>
        <w:jc w:val="both"/>
      </w:pPr>
      <w:r>
        <w:rPr>
          <w:rFonts w:ascii="Arial" w:cs="Arial" w:eastAsia="Arial" w:hAnsi="Arial"/>
          <w:color w:val="1F1E1E"/>
          <w:sz w:val="22"/>
          <w:szCs w:val="22"/>
        </w:rPr>
        <w:t xml:space="preserve">Foundation staff are not mental-health professionals and shall not provide therapy or counseling. Annual training on this protocol is required for any staff or volunteer regularly working with Minor Youth.</w:t>
      </w:r>
    </w:p>
    <w:p>
      <w:pPr>
        <w:keepNext/>
        <w:spacing w:after="160" w:before="360"/>
      </w:pPr>
      <w:r>
        <w:rPr>
          <w:rFonts w:ascii="Arial" w:cs="Arial" w:eastAsia="Arial" w:hAnsi="Arial"/>
          <w:b/>
          <w:bCs/>
          <w:color w:val="561217"/>
          <w:sz w:val="26"/>
          <w:szCs w:val="26"/>
        </w:rPr>
        <w:t xml:space="preserve">9. Benefit-Risk Assessment `[BOTH]`</w:t>
      </w:r>
    </w:p>
    <w:p>
      <w:pPr>
        <w:spacing w:after="120" w:before="60" w:line="320"/>
        <w:jc w:val="both"/>
      </w:pPr>
      <w:r>
        <w:rPr>
          <w:rFonts w:ascii="Arial" w:cs="Arial" w:eastAsia="Arial" w:hAnsi="Arial"/>
          <w:color w:val="1F1E1E"/>
          <w:sz w:val="22"/>
          <w:szCs w:val="22"/>
        </w:rPr>
        <w:t xml:space="preserve">The Foundation conducts a documented benefit-risk assessment for each youth program category using a framework consistent with ISO 4980:2023 (Benefit-Risk Assessment of Consumer Products). The assessment shall:</w:t>
      </w:r>
    </w:p>
    <w:p>
      <w:pPr>
        <w:spacing w:after="120" w:before="60" w:line="320"/>
        <w:jc w:val="both"/>
      </w:pPr>
      <w:r>
        <w:rPr>
          <w:rFonts w:ascii="Arial" w:cs="Arial" w:eastAsia="Arial" w:hAnsi="Arial"/>
          <w:color w:val="1F1E1E"/>
          <w:sz w:val="22"/>
          <w:szCs w:val="22"/>
        </w:rPr>
        <w:t xml:space="preserve">(a) identify the developmental benefits sought (nature exposure, agency, ecological literacy);</w:t>
      </w:r>
    </w:p>
    <w:p>
      <w:pPr>
        <w:spacing w:after="120" w:before="60" w:line="320"/>
        <w:jc w:val="both"/>
      </w:pPr>
      <w:r>
        <w:rPr>
          <w:rFonts w:ascii="Arial" w:cs="Arial" w:eastAsia="Arial" w:hAnsi="Arial"/>
          <w:color w:val="1F1E1E"/>
          <w:sz w:val="22"/>
          <w:szCs w:val="22"/>
        </w:rPr>
        <w:t xml:space="preserve">(b) identify foreseeable risks (heat, tools, plant toxicity, peer dynamics);</w:t>
      </w:r>
    </w:p>
    <w:p>
      <w:pPr>
        <w:spacing w:after="120" w:before="60" w:line="320"/>
        <w:jc w:val="both"/>
      </w:pPr>
      <w:r>
        <w:rPr>
          <w:rFonts w:ascii="Arial" w:cs="Arial" w:eastAsia="Arial" w:hAnsi="Arial"/>
          <w:color w:val="1F1E1E"/>
          <w:sz w:val="22"/>
          <w:szCs w:val="22"/>
        </w:rPr>
        <w:t xml:space="preserve">(c) propose mitigation aligned with this Policy;</w:t>
      </w:r>
    </w:p>
    <w:p>
      <w:pPr>
        <w:spacing w:after="120" w:before="60" w:line="320"/>
        <w:jc w:val="both"/>
      </w:pPr>
      <w:r>
        <w:rPr>
          <w:rFonts w:ascii="Arial" w:cs="Arial" w:eastAsia="Arial" w:hAnsi="Arial"/>
          <w:color w:val="1F1E1E"/>
          <w:sz w:val="22"/>
          <w:szCs w:val="22"/>
        </w:rPr>
        <w:t xml:space="preserve">(d) be reviewed annually by the Programs Committee and updated upon material program change or incident pattern identified through Policy No. 33.</w:t>
      </w:r>
    </w:p>
    <w:p>
      <w:pPr>
        <w:spacing w:after="120" w:before="60" w:line="320"/>
        <w:jc w:val="both"/>
      </w:pPr>
      <w:r>
        <w:rPr>
          <w:rFonts w:ascii="Arial" w:cs="Arial" w:eastAsia="Arial" w:hAnsi="Arial"/>
          <w:color w:val="1F1E1E"/>
          <w:sz w:val="22"/>
          <w:szCs w:val="22"/>
        </w:rPr>
        <w:t xml:space="preserve">The current Benefit-Risk Assessment is maintained as an internal document and made available to participating parents on request.</w:t>
      </w:r>
    </w:p>
    <w:p>
      <w:pPr>
        <w:keepNext/>
        <w:spacing w:after="160" w:before="360"/>
      </w:pPr>
      <w:r>
        <w:rPr>
          <w:rFonts w:ascii="Arial" w:cs="Arial" w:eastAsia="Arial" w:hAnsi="Arial"/>
          <w:b/>
          <w:bCs/>
          <w:color w:val="561217"/>
          <w:sz w:val="26"/>
          <w:szCs w:val="26"/>
        </w:rPr>
        <w:t xml:space="preserve">10. Mental Health Resources `[BOTH]`</w:t>
      </w:r>
    </w:p>
    <w:p>
      <w:pPr>
        <w:spacing w:after="120" w:before="60" w:line="320"/>
        <w:jc w:val="both"/>
      </w:pPr>
      <w:r>
        <w:rPr>
          <w:rFonts w:ascii="Arial" w:cs="Arial" w:eastAsia="Arial" w:hAnsi="Arial"/>
          <w:color w:val="1F1E1E"/>
          <w:sz w:val="22"/>
          <w:szCs w:val="22"/>
        </w:rPr>
        <w:t xml:space="preserve">Youth experiencing mental health crises should contact:</w:t>
      </w:r>
    </w:p>
    <w:p>
      <w:pPr>
        <w:pStyle w:val="ListParagraph"/>
        <w:numPr>
          <w:ilvl w:val="0"/>
          <w:numId w:val="2"/>
        </w:numPr>
        <w:spacing w:after="40" w:before="40" w:line="300"/>
      </w:pPr>
      <w:r>
        <w:rPr>
          <w:rFonts w:ascii="Arial" w:cs="Arial" w:eastAsia="Arial" w:hAnsi="Arial"/>
          <w:b/>
          <w:bCs/>
          <w:color w:val="1F1E1E"/>
          <w:sz w:val="22"/>
          <w:szCs w:val="22"/>
        </w:rPr>
        <w:t xml:space="preserve">988 Suicide &amp; Crisis Lifeline:</w:t>
      </w:r>
      <w:r>
        <w:rPr>
          <w:rFonts w:ascii="Arial" w:cs="Arial" w:eastAsia="Arial" w:hAnsi="Arial"/>
          <w:color w:val="1F1E1E"/>
          <w:sz w:val="22"/>
          <w:szCs w:val="22"/>
        </w:rPr>
        <w:t xml:space="preserve"> Call or text 988 (available 24/7)</w:t>
      </w:r>
    </w:p>
    <w:p>
      <w:pPr>
        <w:pStyle w:val="ListParagraph"/>
        <w:numPr>
          <w:ilvl w:val="0"/>
          <w:numId w:val="2"/>
        </w:numPr>
        <w:spacing w:after="40" w:before="40" w:line="300"/>
      </w:pPr>
      <w:r>
        <w:rPr>
          <w:rFonts w:ascii="Arial" w:cs="Arial" w:eastAsia="Arial" w:hAnsi="Arial"/>
          <w:b/>
          <w:bCs/>
          <w:color w:val="1F1E1E"/>
          <w:sz w:val="22"/>
          <w:szCs w:val="22"/>
        </w:rPr>
        <w:t xml:space="preserve">Crisis Text Line:</w:t>
      </w:r>
      <w:r>
        <w:rPr>
          <w:rFonts w:ascii="Arial" w:cs="Arial" w:eastAsia="Arial" w:hAnsi="Arial"/>
          <w:color w:val="1F1E1E"/>
          <w:sz w:val="22"/>
          <w:szCs w:val="22"/>
        </w:rPr>
        <w:t xml:space="preserve"> Text HOME to 741741</w:t>
      </w:r>
    </w:p>
    <w:p>
      <w:pPr>
        <w:pStyle w:val="ListParagraph"/>
        <w:numPr>
          <w:ilvl w:val="0"/>
          <w:numId w:val="2"/>
        </w:numPr>
        <w:spacing w:after="40" w:before="40" w:line="300"/>
      </w:pPr>
      <w:r>
        <w:rPr>
          <w:rFonts w:ascii="Arial" w:cs="Arial" w:eastAsia="Arial" w:hAnsi="Arial"/>
          <w:b/>
          <w:bCs/>
          <w:color w:val="1F1E1E"/>
          <w:sz w:val="22"/>
          <w:szCs w:val="22"/>
        </w:rPr>
        <w:t xml:space="preserve">National Suicide Prevention Lifeline:</w:t>
      </w:r>
      <w:r>
        <w:rPr>
          <w:rFonts w:ascii="Arial" w:cs="Arial" w:eastAsia="Arial" w:hAnsi="Arial"/>
          <w:color w:val="1F1E1E"/>
          <w:sz w:val="22"/>
          <w:szCs w:val="22"/>
        </w:rPr>
        <w:t xml:space="preserve"> 1-800-273-8255</w:t>
      </w:r>
    </w:p>
    <w:p>
      <w:pPr>
        <w:keepNext/>
        <w:spacing w:after="160" w:before="360"/>
      </w:pPr>
      <w:r>
        <w:rPr>
          <w:rFonts w:ascii="Arial" w:cs="Arial" w:eastAsia="Arial" w:hAnsi="Arial"/>
          <w:b/>
          <w:bCs/>
          <w:color w:val="561217"/>
          <w:sz w:val="26"/>
          <w:szCs w:val="26"/>
        </w:rPr>
        <w:t xml:space="preserve">11. Code of Conduct `[BOTH]`</w:t>
      </w:r>
    </w:p>
    <w:p>
      <w:pPr>
        <w:spacing w:after="120" w:before="60" w:line="320"/>
        <w:jc w:val="both"/>
      </w:pPr>
      <w:r>
        <w:rPr>
          <w:rFonts w:ascii="Arial" w:cs="Arial" w:eastAsia="Arial" w:hAnsi="Arial"/>
          <w:color w:val="1F1E1E"/>
          <w:sz w:val="22"/>
          <w:szCs w:val="22"/>
        </w:rPr>
        <w:t xml:space="preserve">Youth participants agree to:</w:t>
      </w:r>
    </w:p>
    <w:p>
      <w:pPr>
        <w:pStyle w:val="ListParagraph"/>
        <w:numPr>
          <w:ilvl w:val="0"/>
          <w:numId w:val="2"/>
        </w:numPr>
        <w:spacing w:after="40" w:before="40" w:line="300"/>
      </w:pPr>
      <w:r>
        <w:rPr>
          <w:rFonts w:ascii="Arial" w:cs="Arial" w:eastAsia="Arial" w:hAnsi="Arial"/>
          <w:color w:val="1F1E1E"/>
          <w:sz w:val="22"/>
          <w:szCs w:val="22"/>
        </w:rPr>
        <w:t xml:space="preserve">Follow all safety protocols and staff directions</w:t>
      </w:r>
    </w:p>
    <w:p>
      <w:pPr>
        <w:pStyle w:val="ListParagraph"/>
        <w:numPr>
          <w:ilvl w:val="0"/>
          <w:numId w:val="2"/>
        </w:numPr>
        <w:spacing w:after="40" w:before="40" w:line="300"/>
      </w:pPr>
      <w:r>
        <w:rPr>
          <w:rFonts w:ascii="Arial" w:cs="Arial" w:eastAsia="Arial" w:hAnsi="Arial"/>
          <w:color w:val="1F1E1E"/>
          <w:sz w:val="22"/>
          <w:szCs w:val="22"/>
        </w:rPr>
        <w:t xml:space="preserve">Refrain from substance use or possession in garden spaces</w:t>
      </w:r>
    </w:p>
    <w:p>
      <w:pPr>
        <w:pStyle w:val="ListParagraph"/>
        <w:numPr>
          <w:ilvl w:val="0"/>
          <w:numId w:val="2"/>
        </w:numPr>
        <w:spacing w:after="40" w:before="40" w:line="300"/>
      </w:pPr>
      <w:r>
        <w:rPr>
          <w:rFonts w:ascii="Arial" w:cs="Arial" w:eastAsia="Arial" w:hAnsi="Arial"/>
          <w:color w:val="1F1E1E"/>
          <w:sz w:val="22"/>
          <w:szCs w:val="22"/>
        </w:rPr>
        <w:t xml:space="preserve">Report safety concerns and incidents</w:t>
      </w:r>
    </w:p>
    <w:p>
      <w:pPr>
        <w:pStyle w:val="ListParagraph"/>
        <w:numPr>
          <w:ilvl w:val="0"/>
          <w:numId w:val="2"/>
        </w:numPr>
        <w:spacing w:after="40" w:before="40" w:line="300"/>
      </w:pPr>
      <w:r>
        <w:rPr>
          <w:rFonts w:ascii="Arial" w:cs="Arial" w:eastAsia="Arial" w:hAnsi="Arial"/>
          <w:color w:val="1F1E1E"/>
          <w:sz w:val="22"/>
          <w:szCs w:val="22"/>
        </w:rPr>
        <w:t xml:space="preserve">Treat other participants and staff with respect (Holon Foundation Policy No. 10)</w:t>
      </w:r>
    </w:p>
    <w:p>
      <w:pPr>
        <w:keepNext/>
        <w:spacing w:after="160" w:before="360"/>
      </w:pPr>
      <w:r>
        <w:rPr>
          <w:rFonts w:ascii="Arial" w:cs="Arial" w:eastAsia="Arial" w:hAnsi="Arial"/>
          <w:b/>
          <w:bCs/>
          <w:color w:val="561217"/>
          <w:sz w:val="26"/>
          <w:szCs w:val="26"/>
        </w:rPr>
        <w:t xml:space="preserve">Acknowledgement and Acceptance</w:t>
      </w:r>
    </w:p>
    <w:p>
      <w:pPr>
        <w:spacing w:after="120" w:before="60" w:line="320"/>
        <w:jc w:val="both"/>
      </w:pPr>
      <w:r>
        <w:rPr>
          <w:rFonts w:ascii="Arial" w:cs="Arial" w:eastAsia="Arial" w:hAnsi="Arial"/>
          <w:color w:val="1F1E1E"/>
          <w:sz w:val="22"/>
          <w:szCs w:val="22"/>
        </w:rPr>
        <w:t xml:space="preserve">I acknowledge that I have read and understand this policy. I agree to comply with all provisions contained herein and understand that violation of this policy may result in suspension or termination of my access to Holon Foundation services and programs.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Field</w:t>
            </w:r>
          </w:p>
        </w:tc>
        <w:tc>
          <w:tcPr>
            <w:tcW w:type="dxa" w:w="4680"/>
            <w:tcBorders>
              <w:top w:val="single" w:color="D9D6CD" w:sz="4"/>
              <w:left w:val="single" w:color="D9D6CD" w:sz="4"/>
              <w:bottom w:val="single" w:color="D9D6CD" w:sz="4"/>
              <w:right w:val="single" w:color="D9D6CD" w:sz="4"/>
            </w:tcBorders>
            <w:shd w:fill="F7F4EC" w:val="clear"/>
            <w:tcMar>
              <w:top w:type="dxa" w:w="100"/>
              <w:left w:type="dxa" w:w="140"/>
              <w:bottom w:type="dxa" w:w="100"/>
              <w:right w:type="dxa" w:w="140"/>
            </w:tcMar>
          </w:tcPr>
          <w:p>
            <w:r>
              <w:rPr>
                <w:rFonts w:ascii="Arial" w:cs="Arial" w:eastAsia="Arial" w:hAnsi="Arial"/>
                <w:b/>
                <w:bCs/>
                <w:color w:val="561217"/>
                <w:sz w:val="20"/>
                <w:szCs w:val="20"/>
              </w:rPr>
              <w:t xml:space="preserve">Details</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Name (Print)</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User Signature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r>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Date</w:t>
            </w:r>
          </w:p>
        </w:tc>
        <w:tc>
          <w:tcPr>
            <w:tcW w:type="dxa" w:w="4680"/>
            <w:tcBorders>
              <w:top w:val="single" w:color="D9D6CD" w:sz="4"/>
              <w:left w:val="single" w:color="D9D6CD" w:sz="4"/>
              <w:bottom w:val="single" w:color="D9D6CD" w:sz="4"/>
              <w:right w:val="single" w:color="D9D6CD" w:sz="4"/>
            </w:tcBorders>
            <w:tcMar>
              <w:top w:type="dxa" w:w="100"/>
              <w:left w:type="dxa" w:w="140"/>
              <w:bottom w:type="dxa" w:w="100"/>
              <w:right w:type="dxa" w:w="140"/>
            </w:tcMar>
          </w:tcPr>
          <w:p>
            <w:r>
              <w:rPr>
                <w:rFonts w:ascii="Arial" w:cs="Arial" w:eastAsia="Arial" w:hAnsi="Arial"/>
                <w:b w:val="false"/>
                <w:bCs w:val="false"/>
                <w:color w:val="1F1E1E"/>
                <w:sz w:val="20"/>
                <w:szCs w:val="20"/>
              </w:rPr>
              <w:t xml:space="preserve">_________________________________</w:t>
            </w:r>
          </w:p>
        </w:tc>
      </w:tr>
    </w:tbl>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32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32  ·  YOUTH ENGAGEMENT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Engagement Policy</dc:title>
  <dc:creator>Holon Foundation</dc:creator>
  <dc:description>Holon Foundation — Policy No. 32</dc:description>
  <cp:lastModifiedBy>Un-named</cp:lastModifiedBy>
  <cp:revision>1</cp:revision>
  <dcterms:created xsi:type="dcterms:W3CDTF">2026-05-21T02:41:43.295Z</dcterms:created>
  <dcterms:modified xsi:type="dcterms:W3CDTF">2026-05-21T02:41:43.295Z</dcterms:modified>
</cp:coreProperties>
</file>

<file path=docProps/custom.xml><?xml version="1.0" encoding="utf-8"?>
<Properties xmlns="http://schemas.openxmlformats.org/officeDocument/2006/custom-properties" xmlns:vt="http://schemas.openxmlformats.org/officeDocument/2006/docPropsVTypes"/>
</file>