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31</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Child Safety Policy</w:t>
      </w:r>
    </w:p>
    <w:p>
      <w:pPr>
        <w:spacing w:after="0" w:before="0"/>
        <w:jc w:val="center"/>
      </w:pPr>
      <w:r>
        <w:rPr>
          <w:rFonts w:ascii="Arial" w:cs="Arial" w:eastAsia="Arial" w:hAnsi="Arial"/>
          <w:i/>
          <w:iCs/>
          <w:color w:val="4A4A4A"/>
          <w:sz w:val="20"/>
          <w:szCs w:val="20"/>
        </w:rPr>
        <w:t xml:space="preserve">Holon Foundation — Policy No. 31</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Mandatory Reporting of Suspected Abuse or Neglect section invoking Texas Family Code § 261.101 and Texas Penal Code § 38.17, closing the single highest-impact legal gap.</w:t>
      </w:r>
    </w:p>
    <w:p>
      <w:pPr>
        <w:pStyle w:val="ListParagraph"/>
        <w:numPr>
          <w:ilvl w:val="0"/>
          <w:numId w:val="2"/>
        </w:numPr>
        <w:spacing w:after="40" w:before="40" w:line="300"/>
      </w:pPr>
      <w:r>
        <w:rPr>
          <w:rFonts w:ascii="Arial" w:cs="Arial" w:eastAsia="Arial" w:hAnsi="Arial"/>
          <w:color w:val="1F1E1E"/>
          <w:sz w:val="22"/>
          <w:szCs w:val="22"/>
        </w:rPr>
        <w:t xml:space="preserve">Added Two-Adult Rule and No-Isolated-Contact prohibition, aligning with US Center for SafeSport and BoardSource youth-serving practices.</w:t>
      </w:r>
    </w:p>
    <w:p>
      <w:pPr>
        <w:pStyle w:val="ListParagraph"/>
        <w:numPr>
          <w:ilvl w:val="0"/>
          <w:numId w:val="2"/>
        </w:numPr>
        <w:spacing w:after="40" w:before="40" w:line="300"/>
      </w:pPr>
      <w:r>
        <w:rPr>
          <w:rFonts w:ascii="Arial" w:cs="Arial" w:eastAsia="Arial" w:hAnsi="Arial"/>
          <w:color w:val="1F1E1E"/>
          <w:sz w:val="22"/>
          <w:szCs w:val="22"/>
        </w:rPr>
        <w:t xml:space="preserve">Reconciled § 5 data-collection restrictions with operational reality via verifiable parental-consent carve-out under COPPA, anchored to an adult account holder.</w:t>
      </w:r>
    </w:p>
    <w:p>
      <w:pPr>
        <w:pStyle w:val="ListParagraph"/>
        <w:numPr>
          <w:ilvl w:val="0"/>
          <w:numId w:val="2"/>
        </w:numPr>
        <w:spacing w:after="40" w:before="40" w:line="300"/>
      </w:pPr>
      <w:r>
        <w:rPr>
          <w:rFonts w:ascii="Arial" w:cs="Arial" w:eastAsia="Arial" w:hAnsi="Arial"/>
          <w:color w:val="1F1E1E"/>
          <w:sz w:val="22"/>
          <w:szCs w:val="22"/>
        </w:rPr>
        <w:t xml:space="preserve">Specified supervision ratios by age band (1:4 / 1:6 / 1:8; doubled for water-adjacent areas) with two-adult minimum overlay.</w:t>
      </w:r>
    </w:p>
    <w:p>
      <w:pPr>
        <w:pStyle w:val="ListParagraph"/>
        <w:numPr>
          <w:ilvl w:val="0"/>
          <w:numId w:val="2"/>
        </w:numPr>
        <w:spacing w:after="40" w:before="40" w:line="300"/>
      </w:pPr>
      <w:r>
        <w:rPr>
          <w:rFonts w:ascii="Arial" w:cs="Arial" w:eastAsia="Arial" w:hAnsi="Arial"/>
          <w:color w:val="1F1E1E"/>
          <w:sz w:val="22"/>
          <w:szCs w:val="22"/>
        </w:rPr>
        <w:t xml:space="preserve">Specified verifiable parental consent (VPC) methods compliant with FTC 16 C.F.R. § 312.5(b) and required disclosures.</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w:t>
      </w:r>
    </w:p>
    <w:p>
      <w:pPr>
        <w:spacing w:after="120" w:before="60" w:line="320"/>
        <w:jc w:val="both"/>
      </w:pPr>
      <w:r>
        <w:rPr>
          <w:rFonts w:ascii="Arial" w:cs="Arial" w:eastAsia="Arial" w:hAnsi="Arial"/>
          <w:color w:val="1F1E1E"/>
          <w:sz w:val="22"/>
          <w:szCs w:val="22"/>
        </w:rPr>
        <w:t xml:space="preserve">The Holon Foundation Garden Platform prioritizes the safety and well-being of children ages 0-12 who visit or participate in garden programs. This policy establishes safeguards to protect children from plant-related hazards and ensures compliance with applicable privacy and safety laws.</w:t>
      </w:r>
    </w:p>
    <w:p>
      <w:pPr>
        <w:keepNext/>
        <w:spacing w:after="160" w:before="360"/>
      </w:pPr>
      <w:r>
        <w:rPr>
          <w:rFonts w:ascii="Arial" w:cs="Arial" w:eastAsia="Arial" w:hAnsi="Arial"/>
          <w:b/>
          <w:bCs/>
          <w:color w:val="561217"/>
          <w:sz w:val="26"/>
          <w:szCs w:val="26"/>
        </w:rPr>
        <w:t xml:space="preserve">2. Definitions</w:t>
      </w:r>
    </w:p>
    <w:p>
      <w:pPr>
        <w:pStyle w:val="ListParagraph"/>
        <w:numPr>
          <w:ilvl w:val="0"/>
          <w:numId w:val="2"/>
        </w:numPr>
        <w:spacing w:after="40" w:before="40" w:line="300"/>
      </w:pPr>
      <w:r>
        <w:rPr>
          <w:rFonts w:ascii="Arial" w:cs="Arial" w:eastAsia="Arial" w:hAnsi="Arial"/>
          <w:b/>
          <w:bCs/>
          <w:color w:val="1F1E1E"/>
          <w:sz w:val="22"/>
          <w:szCs w:val="22"/>
        </w:rPr>
        <w:t xml:space="preserve">Child.</w:t>
      </w:r>
      <w:r>
        <w:rPr>
          <w:rFonts w:ascii="Arial" w:cs="Arial" w:eastAsia="Arial" w:hAnsi="Arial"/>
          <w:color w:val="1F1E1E"/>
          <w:sz w:val="22"/>
          <w:szCs w:val="22"/>
        </w:rPr>
        <w:t xml:space="preserve"> An individual under the age of 13.</w:t>
      </w:r>
    </w:p>
    <w:p>
      <w:pPr>
        <w:pStyle w:val="ListParagraph"/>
        <w:numPr>
          <w:ilvl w:val="0"/>
          <w:numId w:val="2"/>
        </w:numPr>
        <w:spacing w:after="40" w:before="40" w:line="300"/>
      </w:pPr>
      <w:r>
        <w:rPr>
          <w:rFonts w:ascii="Arial" w:cs="Arial" w:eastAsia="Arial" w:hAnsi="Arial"/>
          <w:b/>
          <w:bCs/>
          <w:color w:val="1F1E1E"/>
          <w:sz w:val="22"/>
          <w:szCs w:val="22"/>
        </w:rPr>
        <w:t xml:space="preserve">Guardian.</w:t>
      </w:r>
      <w:r>
        <w:rPr>
          <w:rFonts w:ascii="Arial" w:cs="Arial" w:eastAsia="Arial" w:hAnsi="Arial"/>
          <w:color w:val="1F1E1E"/>
          <w:sz w:val="22"/>
          <w:szCs w:val="22"/>
        </w:rPr>
        <w:t xml:space="preserve"> A parent, legal guardian, or custodian responsible for a child.</w:t>
      </w:r>
    </w:p>
    <w:p>
      <w:pPr>
        <w:pStyle w:val="ListParagraph"/>
        <w:numPr>
          <w:ilvl w:val="0"/>
          <w:numId w:val="2"/>
        </w:numPr>
        <w:spacing w:after="40" w:before="40" w:line="300"/>
      </w:pPr>
      <w:r>
        <w:rPr>
          <w:rFonts w:ascii="Arial" w:cs="Arial" w:eastAsia="Arial" w:hAnsi="Arial"/>
          <w:b/>
          <w:bCs/>
          <w:color w:val="1F1E1E"/>
          <w:sz w:val="22"/>
          <w:szCs w:val="22"/>
        </w:rPr>
        <w:t xml:space="preserve">Plant Toxicity.</w:t>
      </w:r>
      <w:r>
        <w:rPr>
          <w:rFonts w:ascii="Arial" w:cs="Arial" w:eastAsia="Arial" w:hAnsi="Arial"/>
          <w:color w:val="1F1E1E"/>
          <w:sz w:val="22"/>
          <w:szCs w:val="22"/>
        </w:rPr>
        <w:t xml:space="preserve"> The degree to which a plant substance is poisonous to children.</w:t>
      </w:r>
    </w:p>
    <w:p>
      <w:pPr>
        <w:pStyle w:val="ListParagraph"/>
        <w:numPr>
          <w:ilvl w:val="0"/>
          <w:numId w:val="2"/>
        </w:numPr>
        <w:spacing w:after="40" w:before="40" w:line="300"/>
      </w:pPr>
      <w:r>
        <w:rPr>
          <w:rFonts w:ascii="Arial" w:cs="Arial" w:eastAsia="Arial" w:hAnsi="Arial"/>
          <w:b/>
          <w:bCs/>
          <w:color w:val="1F1E1E"/>
          <w:sz w:val="22"/>
          <w:szCs w:val="22"/>
        </w:rPr>
        <w:t xml:space="preserve">Supervised Activity.</w:t>
      </w:r>
      <w:r>
        <w:rPr>
          <w:rFonts w:ascii="Arial" w:cs="Arial" w:eastAsia="Arial" w:hAnsi="Arial"/>
          <w:color w:val="1F1E1E"/>
          <w:sz w:val="22"/>
          <w:szCs w:val="22"/>
        </w:rPr>
        <w:t xml:space="preserve"> Garden programming or visitation conducted with direct adult supervision.</w:t>
      </w:r>
    </w:p>
    <w:p>
      <w:pPr>
        <w:keepNext/>
        <w:spacing w:after="160" w:before="360"/>
      </w:pPr>
      <w:r>
        <w:rPr>
          <w:rFonts w:ascii="Arial" w:cs="Arial" w:eastAsia="Arial" w:hAnsi="Arial"/>
          <w:b/>
          <w:bCs/>
          <w:color w:val="561217"/>
          <w:sz w:val="26"/>
          <w:szCs w:val="26"/>
        </w:rPr>
        <w:t xml:space="preserve">3. Plant Toxicity for Children Ages 0-12</w:t>
      </w:r>
    </w:p>
    <w:p>
      <w:pPr>
        <w:spacing w:after="120" w:before="60" w:line="320"/>
        <w:jc w:val="both"/>
      </w:pPr>
      <w:r>
        <w:rPr>
          <w:rFonts w:ascii="Arial" w:cs="Arial" w:eastAsia="Arial" w:hAnsi="Arial"/>
          <w:color w:val="1F1E1E"/>
          <w:sz w:val="22"/>
          <w:szCs w:val="22"/>
        </w:rPr>
        <w:t xml:space="preserve">Children have unique vulnerabilities to plant toxicity due to:</w:t>
      </w:r>
    </w:p>
    <w:p>
      <w:pPr>
        <w:pStyle w:val="ListParagraph"/>
        <w:numPr>
          <w:ilvl w:val="0"/>
          <w:numId w:val="2"/>
        </w:numPr>
        <w:spacing w:after="40" w:before="40" w:line="300"/>
      </w:pPr>
      <w:r>
        <w:rPr>
          <w:rFonts w:ascii="Arial" w:cs="Arial" w:eastAsia="Arial" w:hAnsi="Arial"/>
          <w:color w:val="1F1E1E"/>
          <w:sz w:val="22"/>
          <w:szCs w:val="22"/>
        </w:rPr>
        <w:t xml:space="preserve">Lower body weight and metabolism</w:t>
      </w:r>
    </w:p>
    <w:p>
      <w:pPr>
        <w:pStyle w:val="ListParagraph"/>
        <w:numPr>
          <w:ilvl w:val="0"/>
          <w:numId w:val="2"/>
        </w:numPr>
        <w:spacing w:after="40" w:before="40" w:line="300"/>
      </w:pPr>
      <w:r>
        <w:rPr>
          <w:rFonts w:ascii="Arial" w:cs="Arial" w:eastAsia="Arial" w:hAnsi="Arial"/>
          <w:color w:val="1F1E1E"/>
          <w:sz w:val="22"/>
          <w:szCs w:val="22"/>
        </w:rPr>
        <w:t xml:space="preserve">Developmental stage affecting judgment and behavior</w:t>
      </w:r>
    </w:p>
    <w:p>
      <w:pPr>
        <w:pStyle w:val="ListParagraph"/>
        <w:numPr>
          <w:ilvl w:val="0"/>
          <w:numId w:val="2"/>
        </w:numPr>
        <w:spacing w:after="40" w:before="40" w:line="300"/>
      </w:pPr>
      <w:r>
        <w:rPr>
          <w:rFonts w:ascii="Arial" w:cs="Arial" w:eastAsia="Arial" w:hAnsi="Arial"/>
          <w:color w:val="1F1E1E"/>
          <w:sz w:val="22"/>
          <w:szCs w:val="22"/>
        </w:rPr>
        <w:t xml:space="preserve">Inability to communicate symptoms clearly</w:t>
      </w:r>
    </w:p>
    <w:p>
      <w:pPr>
        <w:spacing w:after="120" w:before="60" w:line="320"/>
        <w:jc w:val="both"/>
      </w:pPr>
      <w:r>
        <w:rPr>
          <w:rFonts w:ascii="Arial" w:cs="Arial" w:eastAsia="Arial" w:hAnsi="Arial"/>
          <w:color w:val="1F1E1E"/>
          <w:sz w:val="22"/>
          <w:szCs w:val="22"/>
        </w:rPr>
        <w:t xml:space="preserve">The Holon Foundation maintains plant selection guidelines to minimize toxicity risk. However, guardian supervision remains the primary safeguard.</w:t>
      </w:r>
    </w:p>
    <w:p>
      <w:pPr>
        <w:keepNext/>
        <w:spacing w:after="160" w:before="360"/>
      </w:pPr>
      <w:r>
        <w:rPr>
          <w:rFonts w:ascii="Arial" w:cs="Arial" w:eastAsia="Arial" w:hAnsi="Arial"/>
          <w:b/>
          <w:bCs/>
          <w:color w:val="561217"/>
          <w:sz w:val="26"/>
          <w:szCs w:val="26"/>
        </w:rPr>
        <w:t xml:space="preserve">4. COPPA Compliance</w:t>
      </w:r>
    </w:p>
    <w:p>
      <w:pPr>
        <w:spacing w:after="120" w:before="60" w:line="320"/>
        <w:jc w:val="both"/>
      </w:pPr>
      <w:r>
        <w:rPr>
          <w:rFonts w:ascii="Arial" w:cs="Arial" w:eastAsia="Arial" w:hAnsi="Arial"/>
          <w:color w:val="1F1E1E"/>
          <w:sz w:val="22"/>
          <w:szCs w:val="22"/>
        </w:rPr>
        <w:t xml:space="preserve">The Holon Foundation Garden Platform complies with the Children's Online Privacy Protection Act (COPPA), 15 U.S.C. § 6501 et seq. COPPA protects children under 13 from inappropriate online data collection and advertising.</w:t>
      </w:r>
    </w:p>
    <w:p>
      <w:pPr>
        <w:keepNext/>
        <w:spacing w:after="160" w:before="360"/>
      </w:pPr>
      <w:r>
        <w:rPr>
          <w:rFonts w:ascii="Arial" w:cs="Arial" w:eastAsia="Arial" w:hAnsi="Arial"/>
          <w:b/>
          <w:bCs/>
          <w:color w:val="561217"/>
          <w:sz w:val="26"/>
          <w:szCs w:val="26"/>
        </w:rPr>
        <w:t xml:space="preserve">5. Data Collection Restrictions for Children Under 13</w:t>
      </w:r>
    </w:p>
    <w:p>
      <w:pPr>
        <w:spacing w:after="120" w:before="60" w:line="320"/>
        <w:jc w:val="both"/>
      </w:pPr>
      <w:r>
        <w:rPr>
          <w:rFonts w:ascii="Arial" w:cs="Arial" w:eastAsia="Arial" w:hAnsi="Arial"/>
          <w:color w:val="1F1E1E"/>
          <w:sz w:val="22"/>
          <w:szCs w:val="22"/>
        </w:rPr>
        <w:t xml:space="preserve">The Foundation does not knowingly collect from children under 13 the following data except under verifiable parental consent in compliance with COPPA and only as strictly necessary for the operation of programs the parent has affirmatively enrolled the child into:</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Names or nicknames.</w:t>
      </w:r>
      <w:r>
        <w:rPr>
          <w:rFonts w:ascii="Arial" w:cs="Arial" w:eastAsia="Arial" w:hAnsi="Arial"/>
          <w:color w:val="1F1E1E"/>
          <w:sz w:val="22"/>
          <w:szCs w:val="22"/>
        </w:rPr>
        <w:t xml:space="preserve"> May be collected from the parent for emergency-contact purposes only.</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Photographs.</w:t>
      </w:r>
      <w:r>
        <w:rPr>
          <w:rFonts w:ascii="Arial" w:cs="Arial" w:eastAsia="Arial" w:hAnsi="Arial"/>
          <w:color w:val="1F1E1E"/>
          <w:sz w:val="22"/>
          <w:szCs w:val="22"/>
        </w:rPr>
        <w:t xml:space="preserve"> May be captured at events ONLY with separate written parental consent on the Foundation's Photo Release form; never collected from any online interaction with a minor.</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Personal contact information</w:t>
      </w:r>
      <w:r>
        <w:rPr>
          <w:rFonts w:ascii="Arial" w:cs="Arial" w:eastAsia="Arial" w:hAnsi="Arial"/>
          <w:color w:val="1F1E1E"/>
          <w:sz w:val="22"/>
          <w:szCs w:val="22"/>
        </w:rPr>
        <w:t xml:space="preserve"> (address, phone, email). Never collected directly from the child; the parent's contact is used for all communication.</w:t>
      </w:r>
    </w:p>
    <w:p>
      <w:pPr>
        <w:spacing w:after="120" w:before="60" w:line="320"/>
        <w:jc w:val="both"/>
      </w:pPr>
      <w:r>
        <w:rPr>
          <w:rFonts w:ascii="Arial" w:cs="Arial" w:eastAsia="Arial" w:hAnsi="Arial"/>
          <w:color w:val="1F1E1E"/>
          <w:sz w:val="22"/>
          <w:szCs w:val="22"/>
        </w:rPr>
        <w:t xml:space="preserve">(d) </w:t>
      </w:r>
      <w:r>
        <w:rPr>
          <w:rFonts w:ascii="Arial" w:cs="Arial" w:eastAsia="Arial" w:hAnsi="Arial"/>
          <w:b/>
          <w:bCs/>
          <w:color w:val="1F1E1E"/>
          <w:sz w:val="22"/>
          <w:szCs w:val="22"/>
        </w:rPr>
        <w:t xml:space="preserve">Location data.</w:t>
      </w:r>
      <w:r>
        <w:rPr>
          <w:rFonts w:ascii="Arial" w:cs="Arial" w:eastAsia="Arial" w:hAnsi="Arial"/>
          <w:color w:val="1F1E1E"/>
          <w:sz w:val="22"/>
          <w:szCs w:val="22"/>
        </w:rPr>
        <w:t xml:space="preserve"> Never collected from the child; aggregated event-location data is appropriate.</w:t>
      </w:r>
    </w:p>
    <w:p>
      <w:pPr>
        <w:spacing w:after="120" w:before="60" w:line="320"/>
        <w:jc w:val="both"/>
      </w:pPr>
      <w:r>
        <w:rPr>
          <w:rFonts w:ascii="Arial" w:cs="Arial" w:eastAsia="Arial" w:hAnsi="Arial"/>
          <w:color w:val="1F1E1E"/>
          <w:sz w:val="22"/>
          <w:szCs w:val="22"/>
        </w:rPr>
        <w:t xml:space="preserve">(e) </w:t>
      </w:r>
      <w:r>
        <w:rPr>
          <w:rFonts w:ascii="Arial" w:cs="Arial" w:eastAsia="Arial" w:hAnsi="Arial"/>
          <w:b/>
          <w:bCs/>
          <w:color w:val="1F1E1E"/>
          <w:sz w:val="22"/>
          <w:szCs w:val="22"/>
        </w:rPr>
        <w:t xml:space="preserve">School or activity information.</w:t>
      </w:r>
      <w:r>
        <w:rPr>
          <w:rFonts w:ascii="Arial" w:cs="Arial" w:eastAsia="Arial" w:hAnsi="Arial"/>
          <w:color w:val="1F1E1E"/>
          <w:sz w:val="22"/>
          <w:szCs w:val="22"/>
        </w:rPr>
        <w:t xml:space="preserve"> Never collected.</w:t>
      </w:r>
    </w:p>
    <w:p>
      <w:pPr>
        <w:spacing w:after="120" w:before="60" w:line="320"/>
        <w:jc w:val="both"/>
      </w:pPr>
      <w:r>
        <w:rPr>
          <w:rFonts w:ascii="Arial" w:cs="Arial" w:eastAsia="Arial" w:hAnsi="Arial"/>
          <w:color w:val="1F1E1E"/>
          <w:sz w:val="22"/>
          <w:szCs w:val="22"/>
        </w:rPr>
        <w:t xml:space="preserve">All retention, sharing, and deletion of any data of children under 13 follows Holon Foundation Policy No. 15 (Data Privacy and Security) and the COPPA-compliant procedures published at holonfoundation.org/coppa.</w:t>
      </w:r>
    </w:p>
    <w:p>
      <w:pPr>
        <w:keepNext/>
        <w:spacing w:after="160" w:before="360"/>
      </w:pPr>
      <w:r>
        <w:rPr>
          <w:rFonts w:ascii="Arial" w:cs="Arial" w:eastAsia="Arial" w:hAnsi="Arial"/>
          <w:b/>
          <w:bCs/>
          <w:color w:val="561217"/>
          <w:sz w:val="26"/>
          <w:szCs w:val="26"/>
        </w:rPr>
        <w:t xml:space="preserve">6. Parental and Guardian Consent Requirements</w:t>
      </w:r>
    </w:p>
    <w:p>
      <w:pPr>
        <w:spacing w:after="120" w:before="60" w:line="320"/>
        <w:jc w:val="both"/>
      </w:pPr>
      <w:r>
        <w:rPr>
          <w:rFonts w:ascii="Arial" w:cs="Arial" w:eastAsia="Arial" w:hAnsi="Arial"/>
          <w:color w:val="1F1E1E"/>
          <w:sz w:val="22"/>
          <w:szCs w:val="22"/>
        </w:rPr>
        <w:t xml:space="preserve">The Foundation obtains verifiable parental consent (VPC) using one of the methods approved under FTC 16 C.F.R. § 312.5(b), including but not limited to: signed consent form returned by mail, fax, or electronic signature; credit-card or government-ID identity verification; or video-call confirmation.</w:t>
      </w:r>
    </w:p>
    <w:p>
      <w:pPr>
        <w:spacing w:after="120" w:before="60" w:line="320"/>
        <w:jc w:val="both"/>
      </w:pPr>
      <w:r>
        <w:rPr>
          <w:rFonts w:ascii="Arial" w:cs="Arial" w:eastAsia="Arial" w:hAnsi="Arial"/>
          <w:color w:val="1F1E1E"/>
          <w:sz w:val="22"/>
          <w:szCs w:val="22"/>
        </w:rPr>
        <w:t xml:space="preserve">The Foundation's standard Parental Consent Form discloses:</w:t>
      </w:r>
    </w:p>
    <w:p>
      <w:pPr>
        <w:spacing w:after="120" w:before="60" w:line="320"/>
        <w:jc w:val="both"/>
      </w:pPr>
      <w:r>
        <w:rPr>
          <w:rFonts w:ascii="Arial" w:cs="Arial" w:eastAsia="Arial" w:hAnsi="Arial"/>
          <w:color w:val="1F1E1E"/>
          <w:sz w:val="22"/>
          <w:szCs w:val="22"/>
        </w:rPr>
        <w:t xml:space="preserve">(a) the categories of data to be collected; (b) the specific uses and any disclosures to third parties; (c) the parent's right to review, correct, or delete; (d) the parent's right to refuse further collection without penalty (other than inability to participate in the specific program requiring the data); (e) emergency contact and medical authorization for the child during Foundation activities; (f) photo/video consent or refusal.</w:t>
      </w:r>
    </w:p>
    <w:p>
      <w:pPr>
        <w:spacing w:after="120" w:before="60" w:line="320"/>
        <w:jc w:val="both"/>
      </w:pPr>
      <w:r>
        <w:rPr>
          <w:rFonts w:ascii="Arial" w:cs="Arial" w:eastAsia="Arial" w:hAnsi="Arial"/>
          <w:color w:val="1F1E1E"/>
          <w:sz w:val="22"/>
          <w:szCs w:val="22"/>
        </w:rPr>
        <w:t xml:space="preserve">Consent is renewed annually and may be withdrawn at any time via privacy@holonfoundation.org.</w:t>
      </w:r>
    </w:p>
    <w:p>
      <w:pPr>
        <w:spacing w:after="120" w:before="60" w:line="320"/>
        <w:jc w:val="both"/>
      </w:pPr>
      <w:r>
        <w:rPr>
          <w:rFonts w:ascii="Arial" w:cs="Arial" w:eastAsia="Arial" w:hAnsi="Arial"/>
          <w:color w:val="1F1E1E"/>
          <w:sz w:val="22"/>
          <w:szCs w:val="22"/>
        </w:rPr>
        <w:t xml:space="preserve">A parent or legal guardian must:</w:t>
      </w:r>
    </w:p>
    <w:p>
      <w:pPr>
        <w:pStyle w:val="ListParagraph"/>
        <w:numPr>
          <w:ilvl w:val="0"/>
          <w:numId w:val="2"/>
        </w:numPr>
        <w:spacing w:after="40" w:before="40" w:line="300"/>
      </w:pPr>
      <w:r>
        <w:rPr>
          <w:rFonts w:ascii="Arial" w:cs="Arial" w:eastAsia="Arial" w:hAnsi="Arial"/>
          <w:color w:val="1F1E1E"/>
          <w:sz w:val="22"/>
          <w:szCs w:val="22"/>
        </w:rPr>
        <w:t xml:space="preserve">Provide informed consent for children under 13 to participate in platform programs</w:t>
      </w:r>
    </w:p>
    <w:p>
      <w:pPr>
        <w:pStyle w:val="ListParagraph"/>
        <w:numPr>
          <w:ilvl w:val="0"/>
          <w:numId w:val="2"/>
        </w:numPr>
        <w:spacing w:after="40" w:before="40" w:line="300"/>
      </w:pPr>
      <w:r>
        <w:rPr>
          <w:rFonts w:ascii="Arial" w:cs="Arial" w:eastAsia="Arial" w:hAnsi="Arial"/>
          <w:color w:val="1F1E1E"/>
          <w:sz w:val="22"/>
          <w:szCs w:val="22"/>
        </w:rPr>
        <w:t xml:space="preserve">Acknowledge awareness of plant hazards and their supervision responsibilities</w:t>
      </w:r>
    </w:p>
    <w:p>
      <w:pPr>
        <w:pStyle w:val="ListParagraph"/>
        <w:numPr>
          <w:ilvl w:val="0"/>
          <w:numId w:val="2"/>
        </w:numPr>
        <w:spacing w:after="40" w:before="40" w:line="300"/>
      </w:pPr>
      <w:r>
        <w:rPr>
          <w:rFonts w:ascii="Arial" w:cs="Arial" w:eastAsia="Arial" w:hAnsi="Arial"/>
          <w:color w:val="1F1E1E"/>
          <w:sz w:val="22"/>
          <w:szCs w:val="22"/>
        </w:rPr>
        <w:t xml:space="preserve">Provide emergency contact information</w:t>
      </w:r>
    </w:p>
    <w:p>
      <w:pPr>
        <w:pStyle w:val="ListParagraph"/>
        <w:numPr>
          <w:ilvl w:val="0"/>
          <w:numId w:val="2"/>
        </w:numPr>
        <w:spacing w:after="40" w:before="40" w:line="300"/>
      </w:pPr>
      <w:r>
        <w:rPr>
          <w:rFonts w:ascii="Arial" w:cs="Arial" w:eastAsia="Arial" w:hAnsi="Arial"/>
          <w:color w:val="1F1E1E"/>
          <w:sz w:val="22"/>
          <w:szCs w:val="22"/>
        </w:rPr>
        <w:t xml:space="preserve">Disclose any known plant allergies or medical conditions</w:t>
      </w:r>
    </w:p>
    <w:p>
      <w:pPr>
        <w:keepNext/>
        <w:spacing w:after="160" w:before="360"/>
      </w:pPr>
      <w:r>
        <w:rPr>
          <w:rFonts w:ascii="Arial" w:cs="Arial" w:eastAsia="Arial" w:hAnsi="Arial"/>
          <w:b/>
          <w:bCs/>
          <w:color w:val="561217"/>
          <w:sz w:val="26"/>
          <w:szCs w:val="26"/>
        </w:rPr>
        <w:t xml:space="preserve">7. Pediatric Toxicology and Poison Control References</w:t>
      </w:r>
    </w:p>
    <w:p>
      <w:pPr>
        <w:spacing w:after="120" w:before="60" w:line="320"/>
        <w:jc w:val="both"/>
      </w:pPr>
      <w:r>
        <w:rPr>
          <w:rFonts w:ascii="Arial" w:cs="Arial" w:eastAsia="Arial" w:hAnsi="Arial"/>
          <w:color w:val="1F1E1E"/>
          <w:sz w:val="22"/>
          <w:szCs w:val="22"/>
        </w:rPr>
        <w:t xml:space="preserve">The Holon Foundation references:</w:t>
      </w:r>
    </w:p>
    <w:p>
      <w:pPr>
        <w:pStyle w:val="ListParagraph"/>
        <w:numPr>
          <w:ilvl w:val="0"/>
          <w:numId w:val="2"/>
        </w:numPr>
        <w:spacing w:after="40" w:before="40" w:line="300"/>
      </w:pPr>
      <w:r>
        <w:rPr>
          <w:rFonts w:ascii="Arial" w:cs="Arial" w:eastAsia="Arial" w:hAnsi="Arial"/>
          <w:color w:val="1F1E1E"/>
          <w:sz w:val="22"/>
          <w:szCs w:val="22"/>
        </w:rPr>
        <w:t xml:space="preserve">Texas Poison Center Network (1-800-POISON-1)</w:t>
      </w:r>
    </w:p>
    <w:p>
      <w:pPr>
        <w:pStyle w:val="ListParagraph"/>
        <w:numPr>
          <w:ilvl w:val="0"/>
          <w:numId w:val="2"/>
        </w:numPr>
        <w:spacing w:after="40" w:before="40" w:line="300"/>
      </w:pPr>
      <w:r>
        <w:rPr>
          <w:rFonts w:ascii="Arial" w:cs="Arial" w:eastAsia="Arial" w:hAnsi="Arial"/>
          <w:color w:val="1F1E1E"/>
          <w:sz w:val="22"/>
          <w:szCs w:val="22"/>
        </w:rPr>
        <w:t xml:space="preserve">American Academy of Pediatrics (AAP) guidance on poisoning prevention</w:t>
      </w:r>
    </w:p>
    <w:p>
      <w:pPr>
        <w:pStyle w:val="ListParagraph"/>
        <w:numPr>
          <w:ilvl w:val="0"/>
          <w:numId w:val="2"/>
        </w:numPr>
        <w:spacing w:after="40" w:before="40" w:line="300"/>
      </w:pPr>
      <w:r>
        <w:rPr>
          <w:rFonts w:ascii="Arial" w:cs="Arial" w:eastAsia="Arial" w:hAnsi="Arial"/>
          <w:color w:val="1F1E1E"/>
          <w:sz w:val="22"/>
          <w:szCs w:val="22"/>
        </w:rPr>
        <w:t xml:space="preserve">Pediatric toxicology research and educational standards</w:t>
      </w:r>
    </w:p>
    <w:p>
      <w:pPr>
        <w:keepNext/>
        <w:spacing w:after="160" w:before="360"/>
      </w:pPr>
      <w:r>
        <w:rPr>
          <w:rFonts w:ascii="Arial" w:cs="Arial" w:eastAsia="Arial" w:hAnsi="Arial"/>
          <w:b/>
          <w:bCs/>
          <w:color w:val="561217"/>
          <w:sz w:val="26"/>
          <w:szCs w:val="26"/>
        </w:rPr>
        <w:t xml:space="preserve">8. Mandatory Reporting of Suspected Abuse or Neglect</w:t>
      </w:r>
    </w:p>
    <w:p>
      <w:pPr>
        <w:spacing w:after="120" w:before="60" w:line="320"/>
        <w:jc w:val="both"/>
      </w:pPr>
      <w:r>
        <w:rPr>
          <w:rFonts w:ascii="Arial" w:cs="Arial" w:eastAsia="Arial" w:hAnsi="Arial"/>
          <w:color w:val="1F1E1E"/>
          <w:sz w:val="22"/>
          <w:szCs w:val="22"/>
        </w:rPr>
        <w:t xml:space="preserve">Pursuant to </w:t>
      </w:r>
      <w:r>
        <w:rPr>
          <w:rFonts w:ascii="Arial" w:cs="Arial" w:eastAsia="Arial" w:hAnsi="Arial"/>
          <w:b/>
          <w:bCs/>
          <w:color w:val="1F1E1E"/>
          <w:sz w:val="22"/>
          <w:szCs w:val="22"/>
        </w:rPr>
        <w:t xml:space="preserve">Texas Family Code § 261.101</w:t>
      </w:r>
      <w:r>
        <w:rPr>
          <w:rFonts w:ascii="Arial" w:cs="Arial" w:eastAsia="Arial" w:hAnsi="Arial"/>
          <w:color w:val="1F1E1E"/>
          <w:sz w:val="22"/>
          <w:szCs w:val="22"/>
        </w:rPr>
        <w:t xml:space="preserve">, any person — including any Foundation director, officer, employee, volunteer, contractor, or program participant — who has cause to believe that a child's physical or mental health or welfare has been adversely affected by abuse or neglect shall immediately make a report to either:</w:t>
      </w:r>
    </w:p>
    <w:p>
      <w:pPr>
        <w:spacing w:after="120" w:before="60" w:line="320"/>
        <w:jc w:val="both"/>
      </w:pPr>
      <w:r>
        <w:rPr>
          <w:rFonts w:ascii="Arial" w:cs="Arial" w:eastAsia="Arial" w:hAnsi="Arial"/>
          <w:color w:val="1F1E1E"/>
          <w:sz w:val="22"/>
          <w:szCs w:val="22"/>
        </w:rPr>
        <w:t xml:space="preserve">(a) the Texas Department of Family and Protective Services (1-800-252-5400 or txabusehotline.org);</w:t>
      </w:r>
    </w:p>
    <w:p>
      <w:pPr>
        <w:spacing w:after="120" w:before="60" w:line="320"/>
        <w:jc w:val="both"/>
      </w:pPr>
      <w:r>
        <w:rPr>
          <w:rFonts w:ascii="Arial" w:cs="Arial" w:eastAsia="Arial" w:hAnsi="Arial"/>
          <w:color w:val="1F1E1E"/>
          <w:sz w:val="22"/>
          <w:szCs w:val="22"/>
        </w:rPr>
        <w:t xml:space="preserve">(b) any local or state law enforcement agency; or</w:t>
      </w:r>
    </w:p>
    <w:p>
      <w:pPr>
        <w:spacing w:after="120" w:before="60" w:line="320"/>
        <w:jc w:val="both"/>
      </w:pPr>
      <w:r>
        <w:rPr>
          <w:rFonts w:ascii="Arial" w:cs="Arial" w:eastAsia="Arial" w:hAnsi="Arial"/>
          <w:color w:val="1F1E1E"/>
          <w:sz w:val="22"/>
          <w:szCs w:val="22"/>
        </w:rPr>
        <w:t xml:space="preserve">(c) the Texas Juvenile Probation Commission (if the child is in juvenile-justice custody).</w:t>
      </w:r>
    </w:p>
    <w:p>
      <w:pPr>
        <w:spacing w:after="120" w:before="60" w:line="320"/>
        <w:jc w:val="both"/>
      </w:pPr>
      <w:r>
        <w:rPr>
          <w:rFonts w:ascii="Arial" w:cs="Arial" w:eastAsia="Arial" w:hAnsi="Arial"/>
          <w:color w:val="1F1E1E"/>
          <w:sz w:val="22"/>
          <w:szCs w:val="22"/>
        </w:rPr>
        <w:t xml:space="preserve">Reports must be made </w:t>
      </w:r>
      <w:r>
        <w:rPr>
          <w:rFonts w:ascii="Arial" w:cs="Arial" w:eastAsia="Arial" w:hAnsi="Arial"/>
          <w:b/>
          <w:bCs/>
          <w:color w:val="1F1E1E"/>
          <w:sz w:val="22"/>
          <w:szCs w:val="22"/>
        </w:rPr>
        <w:t xml:space="preserve">not later than 48 hours</w:t>
      </w:r>
      <w:r>
        <w:rPr>
          <w:rFonts w:ascii="Arial" w:cs="Arial" w:eastAsia="Arial" w:hAnsi="Arial"/>
          <w:color w:val="1F1E1E"/>
          <w:sz w:val="22"/>
          <w:szCs w:val="22"/>
        </w:rPr>
        <w:t xml:space="preserve"> after first having cause to believe abuse or neglect has occurred. The reporter's identity is confidential under Texas law.</w:t>
      </w:r>
    </w:p>
    <w:p>
      <w:pPr>
        <w:spacing w:after="120" w:before="60" w:line="320"/>
        <w:jc w:val="both"/>
      </w:pPr>
      <w:r>
        <w:rPr>
          <w:rFonts w:ascii="Arial" w:cs="Arial" w:eastAsia="Arial" w:hAnsi="Arial"/>
          <w:b/>
          <w:bCs/>
          <w:color w:val="1F1E1E"/>
          <w:sz w:val="22"/>
          <w:szCs w:val="22"/>
        </w:rPr>
        <w:t xml:space="preserve">Failure to report is a Class A misdemeanor</w:t>
      </w:r>
      <w:r>
        <w:rPr>
          <w:rFonts w:ascii="Arial" w:cs="Arial" w:eastAsia="Arial" w:hAnsi="Arial"/>
          <w:color w:val="1F1E1E"/>
          <w:sz w:val="22"/>
          <w:szCs w:val="22"/>
        </w:rPr>
        <w:t xml:space="preserve"> under Texas Penal Code § 38.17, with enhanced penalties for licensed professionals.</w:t>
      </w:r>
    </w:p>
    <w:p>
      <w:pPr>
        <w:spacing w:after="120" w:before="60" w:line="320"/>
        <w:jc w:val="both"/>
      </w:pPr>
      <w:r>
        <w:rPr>
          <w:rFonts w:ascii="Arial" w:cs="Arial" w:eastAsia="Arial" w:hAnsi="Arial"/>
          <w:color w:val="1F1E1E"/>
          <w:sz w:val="22"/>
          <w:szCs w:val="22"/>
        </w:rPr>
        <w:t xml:space="preserve">The Foundation does not require, and shall not undertake, an internal investigation prior to a mandatory report; concurrent internal incident response under Holon Foundation Policy No. 33 (Incident Reporting Policy) shall not delay the legal report.</w:t>
      </w:r>
    </w:p>
    <w:p>
      <w:pPr>
        <w:keepNext/>
        <w:spacing w:after="160" w:before="360"/>
      </w:pPr>
      <w:r>
        <w:rPr>
          <w:rFonts w:ascii="Arial" w:cs="Arial" w:eastAsia="Arial" w:hAnsi="Arial"/>
          <w:b/>
          <w:bCs/>
          <w:color w:val="561217"/>
          <w:sz w:val="26"/>
          <w:szCs w:val="26"/>
        </w:rPr>
        <w:t xml:space="preserve">9. Two-Adult Rule and Supervision Standards</w:t>
      </w:r>
    </w:p>
    <w:p>
      <w:pPr>
        <w:spacing w:after="120" w:before="60" w:line="320"/>
        <w:jc w:val="both"/>
      </w:pPr>
      <w:r>
        <w:rPr>
          <w:rFonts w:ascii="Arial" w:cs="Arial" w:eastAsia="Arial" w:hAnsi="Arial"/>
          <w:color w:val="1F1E1E"/>
          <w:sz w:val="22"/>
          <w:szCs w:val="22"/>
        </w:rPr>
        <w:t xml:space="preserve">At all Foundation events and in all Foundation programs involving children, at least two screened, unrelated adults (age 18 or older) shall be present whenever any child is present. No Foundation representative shall be alone with an unrelated child in a closed or non-public setting (vehicle, locked room, private dwelling, isolated outdoor location). This rule applies regardless of the duration of the interaction.</w:t>
      </w:r>
    </w:p>
    <w:p>
      <w:pPr>
        <w:spacing w:after="120" w:before="60" w:line="320"/>
        <w:jc w:val="both"/>
      </w:pPr>
      <w:r>
        <w:rPr>
          <w:rFonts w:ascii="Arial" w:cs="Arial" w:eastAsia="Arial" w:hAnsi="Arial"/>
          <w:b/>
          <w:bCs/>
          <w:color w:val="1F1E1E"/>
          <w:sz w:val="22"/>
          <w:szCs w:val="22"/>
        </w:rPr>
        <w:t xml:space="preserve">Exceptions:</w:t>
      </w:r>
    </w:p>
    <w:p>
      <w:pPr>
        <w:spacing w:after="120" w:before="60" w:line="320"/>
        <w:jc w:val="both"/>
      </w:pPr>
      <w:r>
        <w:rPr>
          <w:rFonts w:ascii="Arial" w:cs="Arial" w:eastAsia="Arial" w:hAnsi="Arial"/>
          <w:color w:val="1F1E1E"/>
          <w:sz w:val="22"/>
          <w:szCs w:val="22"/>
        </w:rPr>
        <w:t xml:space="preserve">(a) emergencies requiring immediate single-adult response (with second adult notified as soon as practicable);</w:t>
      </w:r>
    </w:p>
    <w:p>
      <w:pPr>
        <w:spacing w:after="120" w:before="60" w:line="320"/>
        <w:jc w:val="both"/>
      </w:pPr>
      <w:r>
        <w:rPr>
          <w:rFonts w:ascii="Arial" w:cs="Arial" w:eastAsia="Arial" w:hAnsi="Arial"/>
          <w:color w:val="1F1E1E"/>
          <w:sz w:val="22"/>
          <w:szCs w:val="22"/>
        </w:rPr>
        <w:t xml:space="preserve">(b) the child's own parent or guardian acting independently of Foundation programming.</w:t>
      </w:r>
    </w:p>
    <w:p>
      <w:pPr>
        <w:spacing w:after="120" w:before="60" w:line="320"/>
        <w:jc w:val="both"/>
      </w:pPr>
      <w:r>
        <w:rPr>
          <w:rFonts w:ascii="Arial" w:cs="Arial" w:eastAsia="Arial" w:hAnsi="Arial"/>
          <w:color w:val="1F1E1E"/>
          <w:sz w:val="22"/>
          <w:szCs w:val="22"/>
        </w:rPr>
        <w:t xml:space="preserve">Violations shall be reported under Policy No. 33 and may trigger immediate suspension pending investigation.</w:t>
      </w:r>
    </w:p>
    <w:p>
      <w:pPr>
        <w:keepNext/>
        <w:spacing w:after="120" w:before="240"/>
      </w:pPr>
      <w:r>
        <w:rPr>
          <w:rFonts w:ascii="Arial" w:cs="Arial" w:eastAsia="Arial" w:hAnsi="Arial"/>
          <w:b/>
          <w:bCs/>
          <w:color w:val="3B5937"/>
          <w:sz w:val="22"/>
          <w:szCs w:val="22"/>
        </w:rPr>
        <w:t xml:space="preserve">Supervision Ratios</w:t>
      </w:r>
    </w:p>
    <w:p>
      <w:pPr>
        <w:spacing w:after="120" w:before="60" w:line="320"/>
        <w:jc w:val="both"/>
      </w:pPr>
      <w:r>
        <w:rPr>
          <w:rFonts w:ascii="Arial" w:cs="Arial" w:eastAsia="Arial" w:hAnsi="Arial"/>
          <w:color w:val="1F1E1E"/>
          <w:sz w:val="22"/>
          <w:szCs w:val="22"/>
        </w:rPr>
        <w:t xml:space="preserve">Adult-to-child supervision ratios for Foundation programs and events shall be at least:</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Ages 0–5:</w:t>
      </w:r>
      <w:r>
        <w:rPr>
          <w:rFonts w:ascii="Arial" w:cs="Arial" w:eastAsia="Arial" w:hAnsi="Arial"/>
          <w:color w:val="1F1E1E"/>
          <w:sz w:val="22"/>
          <w:szCs w:val="22"/>
        </w:rPr>
        <w:t xml:space="preserve"> 1 adult per 4 children, with at least one adult within arm's length of each child;</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Ages 6–9:</w:t>
      </w:r>
      <w:r>
        <w:rPr>
          <w:rFonts w:ascii="Arial" w:cs="Arial" w:eastAsia="Arial" w:hAnsi="Arial"/>
          <w:color w:val="1F1E1E"/>
          <w:sz w:val="22"/>
          <w:szCs w:val="22"/>
        </w:rPr>
        <w:t xml:space="preserve"> 1 adult per 6 children;</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Ages 10–12:</w:t>
      </w:r>
      <w:r>
        <w:rPr>
          <w:rFonts w:ascii="Arial" w:cs="Arial" w:eastAsia="Arial" w:hAnsi="Arial"/>
          <w:color w:val="1F1E1E"/>
          <w:sz w:val="22"/>
          <w:szCs w:val="22"/>
        </w:rPr>
        <w:t xml:space="preserve"> 1 adult per 8 children.</w:t>
      </w:r>
    </w:p>
    <w:p>
      <w:pPr>
        <w:spacing w:after="120" w:before="60" w:line="320"/>
        <w:jc w:val="both"/>
      </w:pPr>
      <w:r>
        <w:rPr>
          <w:rFonts w:ascii="Arial" w:cs="Arial" w:eastAsia="Arial" w:hAnsi="Arial"/>
          <w:color w:val="1F1E1E"/>
          <w:sz w:val="22"/>
          <w:szCs w:val="22"/>
        </w:rPr>
        <w:t xml:space="preserve">Two-adult minimum applies regardless of count. For water-adjacent areas (rain gardens with standing water, irrigation features), the ratio shall be doubled and at least one adult shall hold current CPR / first-aid certification.</w:t>
      </w:r>
    </w:p>
    <w:p>
      <w:pPr>
        <w:spacing w:after="120" w:before="60" w:line="320"/>
        <w:jc w:val="both"/>
      </w:pPr>
      <w:r>
        <w:rPr>
          <w:rFonts w:ascii="Arial" w:cs="Arial" w:eastAsia="Arial" w:hAnsi="Arial"/>
          <w:color w:val="1F1E1E"/>
          <w:sz w:val="22"/>
          <w:szCs w:val="22"/>
        </w:rPr>
        <w:t xml:space="preserve">Supervision also incorporates Sandseter's Risky Play Framework principles, which recognize that children benefit from appropriately supervised risk-taking in natural environments. Supervision means:</w:t>
      </w:r>
    </w:p>
    <w:p>
      <w:pPr>
        <w:pStyle w:val="ListParagraph"/>
        <w:numPr>
          <w:ilvl w:val="0"/>
          <w:numId w:val="2"/>
        </w:numPr>
        <w:spacing w:after="40" w:before="40" w:line="300"/>
      </w:pPr>
      <w:r>
        <w:rPr>
          <w:rFonts w:ascii="Arial" w:cs="Arial" w:eastAsia="Arial" w:hAnsi="Arial"/>
          <w:color w:val="1F1E1E"/>
          <w:sz w:val="22"/>
          <w:szCs w:val="22"/>
        </w:rPr>
        <w:t xml:space="preserve">Adult within immediate visual range</w:t>
      </w:r>
    </w:p>
    <w:p>
      <w:pPr>
        <w:pStyle w:val="ListParagraph"/>
        <w:numPr>
          <w:ilvl w:val="0"/>
          <w:numId w:val="2"/>
        </w:numPr>
        <w:spacing w:after="40" w:before="40" w:line="300"/>
      </w:pPr>
      <w:r>
        <w:rPr>
          <w:rFonts w:ascii="Arial" w:cs="Arial" w:eastAsia="Arial" w:hAnsi="Arial"/>
          <w:color w:val="1F1E1E"/>
          <w:sz w:val="22"/>
          <w:szCs w:val="22"/>
        </w:rPr>
        <w:t xml:space="preserve">Adult capable of intervening immediately if danger occurs</w:t>
      </w:r>
    </w:p>
    <w:p>
      <w:pPr>
        <w:pStyle w:val="ListParagraph"/>
        <w:numPr>
          <w:ilvl w:val="0"/>
          <w:numId w:val="2"/>
        </w:numPr>
        <w:spacing w:after="40" w:before="40" w:line="300"/>
      </w:pPr>
      <w:r>
        <w:rPr>
          <w:rFonts w:ascii="Arial" w:cs="Arial" w:eastAsia="Arial" w:hAnsi="Arial"/>
          <w:color w:val="1F1E1E"/>
          <w:sz w:val="22"/>
          <w:szCs w:val="22"/>
        </w:rPr>
        <w:t xml:space="preserve">Age-appropriate education about plant dangers</w:t>
      </w:r>
    </w:p>
    <w:p>
      <w:pPr>
        <w:pStyle w:val="ListParagraph"/>
        <w:numPr>
          <w:ilvl w:val="0"/>
          <w:numId w:val="2"/>
        </w:numPr>
        <w:spacing w:after="40" w:before="40" w:line="300"/>
      </w:pPr>
      <w:r>
        <w:rPr>
          <w:rFonts w:ascii="Arial" w:cs="Arial" w:eastAsia="Arial" w:hAnsi="Arial"/>
          <w:color w:val="1F1E1E"/>
          <w:sz w:val="22"/>
          <w:szCs w:val="22"/>
        </w:rPr>
        <w:t xml:space="preserve">Clear boundaries and rules communicated before activities</w:t>
      </w:r>
    </w:p>
    <w:p>
      <w:pPr>
        <w:keepNext/>
        <w:spacing w:after="160" w:before="360"/>
      </w:pPr>
      <w:r>
        <w:rPr>
          <w:rFonts w:ascii="Arial" w:cs="Arial" w:eastAsia="Arial" w:hAnsi="Arial"/>
          <w:b/>
          <w:bCs/>
          <w:color w:val="561217"/>
          <w:sz w:val="26"/>
          <w:szCs w:val="26"/>
        </w:rPr>
        <w:t xml:space="preserve">10. Pediatric Toxicology Disclaimers</w:t>
      </w:r>
    </w:p>
    <w:p>
      <w:pPr>
        <w:spacing w:after="120" w:before="60" w:line="320"/>
        <w:jc w:val="both"/>
      </w:pPr>
      <w:r>
        <w:rPr>
          <w:rFonts w:ascii="Arial" w:cs="Arial" w:eastAsia="Arial" w:hAnsi="Arial"/>
          <w:color w:val="1F1E1E"/>
          <w:sz w:val="22"/>
          <w:szCs w:val="22"/>
        </w:rPr>
        <w:t xml:space="preserve">Holon Foundation provides educational information about plants and childhood poisoning prevention. This information is NOT a substitute for professional medical care. In case of poisoning:</w:t>
      </w:r>
    </w:p>
    <w:p>
      <w:pPr>
        <w:pStyle w:val="ListParagraph"/>
        <w:numPr>
          <w:ilvl w:val="0"/>
          <w:numId w:val="2"/>
        </w:numPr>
        <w:spacing w:after="40" w:before="40" w:line="300"/>
      </w:pPr>
      <w:r>
        <w:rPr>
          <w:rFonts w:ascii="Arial" w:cs="Arial" w:eastAsia="Arial" w:hAnsi="Arial"/>
          <w:color w:val="1F1E1E"/>
          <w:sz w:val="22"/>
          <w:szCs w:val="22"/>
        </w:rPr>
        <w:t xml:space="preserve">Call </w:t>
      </w:r>
      <w:r>
        <w:rPr>
          <w:rFonts w:ascii="Arial" w:cs="Arial" w:eastAsia="Arial" w:hAnsi="Arial"/>
          <w:b/>
          <w:bCs/>
          <w:color w:val="1F1E1E"/>
          <w:sz w:val="22"/>
          <w:szCs w:val="22"/>
        </w:rPr>
        <w:t xml:space="preserve">Texas Poison Center Network: 1-800-POISON-1</w:t>
      </w:r>
      <w:r>
        <w:rPr>
          <w:rFonts w:ascii="Arial" w:cs="Arial" w:eastAsia="Arial" w:hAnsi="Arial"/>
          <w:color w:val="1F1E1E"/>
          <w:sz w:val="22"/>
          <w:szCs w:val="22"/>
        </w:rPr>
        <w:t xml:space="preserve"> (1-800-764-7661)</w:t>
      </w:r>
    </w:p>
    <w:p>
      <w:pPr>
        <w:pStyle w:val="ListParagraph"/>
        <w:numPr>
          <w:ilvl w:val="0"/>
          <w:numId w:val="2"/>
        </w:numPr>
        <w:spacing w:after="40" w:before="40" w:line="300"/>
      </w:pPr>
      <w:r>
        <w:rPr>
          <w:rFonts w:ascii="Arial" w:cs="Arial" w:eastAsia="Arial" w:hAnsi="Arial"/>
          <w:color w:val="1F1E1E"/>
          <w:sz w:val="22"/>
          <w:szCs w:val="22"/>
        </w:rPr>
        <w:t xml:space="preserve">Call </w:t>
      </w:r>
      <w:r>
        <w:rPr>
          <w:rFonts w:ascii="Arial" w:cs="Arial" w:eastAsia="Arial" w:hAnsi="Arial"/>
          <w:b/>
          <w:bCs/>
          <w:color w:val="1F1E1E"/>
          <w:sz w:val="22"/>
          <w:szCs w:val="22"/>
        </w:rPr>
        <w:t xml:space="preserve">911</w:t>
      </w:r>
      <w:r>
        <w:rPr>
          <w:rFonts w:ascii="Arial" w:cs="Arial" w:eastAsia="Arial" w:hAnsi="Arial"/>
          <w:color w:val="1F1E1E"/>
          <w:sz w:val="22"/>
          <w:szCs w:val="22"/>
        </w:rPr>
        <w:t xml:space="preserve"> for emergency situations</w:t>
      </w:r>
    </w:p>
    <w:p>
      <w:pPr>
        <w:pStyle w:val="ListParagraph"/>
        <w:numPr>
          <w:ilvl w:val="0"/>
          <w:numId w:val="2"/>
        </w:numPr>
        <w:spacing w:after="40" w:before="40" w:line="300"/>
      </w:pPr>
      <w:r>
        <w:rPr>
          <w:rFonts w:ascii="Arial" w:cs="Arial" w:eastAsia="Arial" w:hAnsi="Arial"/>
          <w:color w:val="1F1E1E"/>
          <w:sz w:val="22"/>
          <w:szCs w:val="22"/>
        </w:rPr>
        <w:t xml:space="preserve">Consult a pediatrician or emergency physician</w:t>
      </w:r>
    </w:p>
    <w:p>
      <w:pPr>
        <w:keepNext/>
        <w:spacing w:after="160" w:before="360"/>
      </w:pPr>
      <w:r>
        <w:rPr>
          <w:rFonts w:ascii="Arial" w:cs="Arial" w:eastAsia="Arial" w:hAnsi="Arial"/>
          <w:b/>
          <w:bCs/>
          <w:color w:val="561217"/>
          <w:sz w:val="26"/>
          <w:szCs w:val="26"/>
        </w:rPr>
        <w:t xml:space="preserve">11. Texas Health and Safety Code References</w:t>
      </w:r>
    </w:p>
    <w:p>
      <w:pPr>
        <w:spacing w:after="120" w:before="60" w:line="320"/>
        <w:jc w:val="both"/>
      </w:pPr>
      <w:r>
        <w:rPr>
          <w:rFonts w:ascii="Arial" w:cs="Arial" w:eastAsia="Arial" w:hAnsi="Arial"/>
          <w:color w:val="1F1E1E"/>
          <w:sz w:val="22"/>
          <w:szCs w:val="22"/>
        </w:rPr>
        <w:t xml:space="preserve">This policy complies with Texas Health &amp; Safety Code § 82.003 regarding safety standards for children in organized activities.</w:t>
      </w:r>
    </w:p>
    <w:p>
      <w:pPr>
        <w:keepNext/>
        <w:spacing w:after="160" w:before="360"/>
      </w:pPr>
      <w:r>
        <w:rPr>
          <w:rFonts w:ascii="Arial" w:cs="Arial" w:eastAsia="Arial" w:hAnsi="Arial"/>
          <w:b/>
          <w:bCs/>
          <w:color w:val="561217"/>
          <w:sz w:val="26"/>
          <w:szCs w:val="26"/>
        </w:rPr>
        <w:t xml:space="preserve">12. Emergency Resources</w:t>
      </w:r>
    </w:p>
    <w:p>
      <w:pPr>
        <w:spacing w:after="120" w:before="60" w:line="320"/>
        <w:jc w:val="both"/>
      </w:pPr>
      <w:r>
        <w:rPr>
          <w:rFonts w:ascii="Arial" w:cs="Arial" w:eastAsia="Arial" w:hAnsi="Arial"/>
          <w:color w:val="1F1E1E"/>
          <w:sz w:val="22"/>
          <w:szCs w:val="22"/>
        </w:rPr>
        <w:t xml:space="preserve">For childhood poisoning emergencies:</w:t>
      </w:r>
    </w:p>
    <w:p>
      <w:pPr>
        <w:pStyle w:val="ListParagraph"/>
        <w:numPr>
          <w:ilvl w:val="0"/>
          <w:numId w:val="2"/>
        </w:numPr>
        <w:spacing w:after="40" w:before="40" w:line="300"/>
      </w:pPr>
      <w:r>
        <w:rPr>
          <w:rFonts w:ascii="Arial" w:cs="Arial" w:eastAsia="Arial" w:hAnsi="Arial"/>
          <w:b/>
          <w:bCs/>
          <w:color w:val="1F1E1E"/>
          <w:sz w:val="22"/>
          <w:szCs w:val="22"/>
        </w:rPr>
        <w:t xml:space="preserve">Texas Poison Center Network:</w:t>
      </w:r>
      <w:r>
        <w:rPr>
          <w:rFonts w:ascii="Arial" w:cs="Arial" w:eastAsia="Arial" w:hAnsi="Arial"/>
          <w:color w:val="1F1E1E"/>
          <w:sz w:val="22"/>
          <w:szCs w:val="22"/>
        </w:rPr>
        <w:t xml:space="preserve"> 1-800-POISON-1</w:t>
      </w:r>
    </w:p>
    <w:p>
      <w:pPr>
        <w:pStyle w:val="ListParagraph"/>
        <w:numPr>
          <w:ilvl w:val="0"/>
          <w:numId w:val="2"/>
        </w:numPr>
        <w:spacing w:after="40" w:before="40" w:line="300"/>
      </w:pPr>
      <w:r>
        <w:rPr>
          <w:rFonts w:ascii="Arial" w:cs="Arial" w:eastAsia="Arial" w:hAnsi="Arial"/>
          <w:b/>
          <w:bCs/>
          <w:color w:val="1F1E1E"/>
          <w:sz w:val="22"/>
          <w:szCs w:val="22"/>
        </w:rPr>
        <w:t xml:space="preserve">911 Emergency Services</w:t>
      </w:r>
    </w:p>
    <w:p>
      <w:pPr>
        <w:keepNext/>
        <w:spacing w:after="160" w:before="360"/>
      </w:pPr>
      <w:r>
        <w:rPr>
          <w:rFonts w:ascii="Arial" w:cs="Arial" w:eastAsia="Arial" w:hAnsi="Arial"/>
          <w:b/>
          <w:bCs/>
          <w:color w:val="561217"/>
          <w:sz w:val="26"/>
          <w:szCs w:val="26"/>
        </w:rPr>
        <w:t xml:space="preserve">Acknowledgement and Acceptance</w:t>
      </w:r>
    </w:p>
    <w:p>
      <w:pPr>
        <w:spacing w:after="120" w:before="60" w:line="320"/>
        <w:jc w:val="both"/>
      </w:pPr>
      <w:r>
        <w:rPr>
          <w:rFonts w:ascii="Arial" w:cs="Arial" w:eastAsia="Arial" w:hAnsi="Arial"/>
          <w:color w:val="1F1E1E"/>
          <w:sz w:val="22"/>
          <w:szCs w:val="22"/>
        </w:rPr>
        <w:t xml:space="preserve">I acknowledge that I have read and understand this policy. I agree to comply with all provisions contained herein and understand that violation of this policy may result in suspension or termination of my access to Holon Foundation services and programs.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Name (Print)</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31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31  ·  CHILD SAFETY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creator>Holon Foundation</dc:creator>
  <dc:description>Holon Foundation — Policy No. 31</dc:description>
  <cp:lastModifiedBy>Un-named</cp:lastModifiedBy>
  <cp:revision>1</cp:revision>
  <dcterms:created xsi:type="dcterms:W3CDTF">2026-05-21T02:41:43.186Z</dcterms:created>
  <dcterms:modified xsi:type="dcterms:W3CDTF">2026-05-21T02:41:43.186Z</dcterms:modified>
</cp:coreProperties>
</file>

<file path=docProps/custom.xml><?xml version="1.0" encoding="utf-8"?>
<Properties xmlns="http://schemas.openxmlformats.org/officeDocument/2006/custom-properties" xmlns:vt="http://schemas.openxmlformats.org/officeDocument/2006/docPropsVTypes"/>
</file>