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25</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Volunteer Field Operations Compliance Checklist</w:t>
      </w:r>
    </w:p>
    <w:p>
      <w:pPr>
        <w:spacing w:after="0" w:before="0"/>
        <w:jc w:val="center"/>
      </w:pPr>
      <w:r>
        <w:rPr>
          <w:rFonts w:ascii="Arial" w:cs="Arial" w:eastAsia="Arial" w:hAnsi="Arial"/>
          <w:i/>
          <w:iCs/>
          <w:color w:val="4A4A4A"/>
          <w:sz w:val="20"/>
          <w:szCs w:val="20"/>
        </w:rPr>
        <w:t xml:space="preserve">Holon Foundation — Policy No. 25</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Governing Policies Referenced: 09, 10, 15, 18, 20, 31, 32, 33, 34.</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spacing w:after="120" w:before="60" w:line="320"/>
        <w:jc w:val="both"/>
      </w:pPr>
      <w:r>
        <w:rPr>
          <w:rFonts w:ascii="Arial" w:cs="Arial" w:eastAsia="Arial" w:hAnsi="Arial"/>
          <w:color w:val="1F1E1E"/>
          <w:sz w:val="22"/>
          <w:szCs w:val="22"/>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Waiver and Release Standards section requiring the Foundation-approved master form drafted to Texas express-negligence + conspicuousness standards (Dresser Indus. v. Page Petroleum), with cross-reference to Volunteer Protection Act and TCILA.</w:t>
      </w:r>
    </w:p>
    <w:p>
      <w:pPr>
        <w:pStyle w:val="ListParagraph"/>
        <w:numPr>
          <w:ilvl w:val="0"/>
          <w:numId w:val="2"/>
        </w:numPr>
        <w:spacing w:after="40" w:before="40" w:line="300"/>
      </w:pPr>
      <w:r>
        <w:rPr>
          <w:rFonts w:ascii="Arial" w:cs="Arial" w:eastAsia="Arial" w:hAnsi="Arial"/>
          <w:color w:val="1F1E1E"/>
          <w:sz w:val="22"/>
          <w:szCs w:val="22"/>
        </w:rPr>
        <w:t xml:space="preserve">Added explicit Reasonable Accommodations procedure under ADA Title III with 7-day advance-request window and sample accommodations.</w:t>
      </w:r>
    </w:p>
    <w:p>
      <w:pPr>
        <w:pStyle w:val="ListParagraph"/>
        <w:numPr>
          <w:ilvl w:val="0"/>
          <w:numId w:val="2"/>
        </w:numPr>
        <w:spacing w:after="40" w:before="40" w:line="300"/>
      </w:pPr>
      <w:r>
        <w:rPr>
          <w:rFonts w:ascii="Arial" w:cs="Arial" w:eastAsia="Arial" w:hAnsi="Arial"/>
          <w:color w:val="1F1E1E"/>
          <w:sz w:val="22"/>
          <w:szCs w:val="22"/>
        </w:rPr>
        <w:t xml:space="preserve">Added Tiered First-Aid Requirements scaled to attendance, with AED requirement at 21+ volunteers and CPR-certified responders at 51+.</w:t>
      </w:r>
    </w:p>
    <w:p>
      <w:pPr>
        <w:pStyle w:val="ListParagraph"/>
        <w:numPr>
          <w:ilvl w:val="0"/>
          <w:numId w:val="2"/>
        </w:numPr>
        <w:spacing w:after="40" w:before="40" w:line="300"/>
      </w:pPr>
      <w:r>
        <w:rPr>
          <w:rFonts w:ascii="Arial" w:cs="Arial" w:eastAsia="Arial" w:hAnsi="Arial"/>
          <w:color w:val="1F1E1E"/>
          <w:sz w:val="22"/>
          <w:szCs w:val="22"/>
        </w:rPr>
        <w:t xml:space="preserve">Specified Go/No-Go thresholds for heat (103°F heat index), cold (32°F wind chill), lightning (NWS 30-30 Rule), and air quality (AQI 151).</w:t>
      </w:r>
    </w:p>
    <w:p>
      <w:pPr>
        <w:pStyle w:val="ListParagraph"/>
        <w:numPr>
          <w:ilvl w:val="0"/>
          <w:numId w:val="2"/>
        </w:numPr>
        <w:spacing w:after="40" w:before="40" w:line="300"/>
      </w:pPr>
      <w:r>
        <w:rPr>
          <w:rFonts w:ascii="Arial" w:cs="Arial" w:eastAsia="Arial" w:hAnsi="Arial"/>
          <w:color w:val="1F1E1E"/>
          <w:sz w:val="22"/>
          <w:szCs w:val="22"/>
        </w:rPr>
        <w:t xml:space="preserve">Strengthened Independent Steward / Non-Agency disclaimer for participant-facing clarity, mirroring Policy No. 24 § 2.6.</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Event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Event Name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Time (Start - End)</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Garden / Location</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Steward / Organizer</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Expected # Volunteers</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Emergency Contact</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Nearest Hospital</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
            </w:r>
          </w:p>
        </w:tc>
      </w:tr>
    </w:tbl>
    <w:p>
      <w:pPr>
        <w:keepNext/>
        <w:spacing w:after="160" w:before="360"/>
      </w:pPr>
      <w:r>
        <w:rPr>
          <w:rFonts w:ascii="Arial" w:cs="Arial" w:eastAsia="Arial" w:hAnsi="Arial"/>
          <w:b/>
          <w:bCs/>
          <w:color w:val="561217"/>
          <w:sz w:val="26"/>
          <w:szCs w:val="26"/>
        </w:rPr>
        <w:t xml:space="preserve">Phase 1: Pre-Event Planning (1-7 Days Before)</w:t>
      </w:r>
    </w:p>
    <w:p>
      <w:pPr>
        <w:keepNext/>
        <w:spacing w:after="120" w:before="240"/>
      </w:pPr>
      <w:r>
        <w:rPr>
          <w:rFonts w:ascii="Arial" w:cs="Arial" w:eastAsia="Arial" w:hAnsi="Arial"/>
          <w:b/>
          <w:bCs/>
          <w:color w:val="3B5937"/>
          <w:sz w:val="22"/>
          <w:szCs w:val="22"/>
        </w:rPr>
        <w:t xml:space="preserve">1.1 Safety &amp; Site Preparation</w:t>
      </w:r>
    </w:p>
    <w:p>
      <w:pPr>
        <w:spacing w:after="120" w:before="60" w:line="320"/>
        <w:jc w:val="both"/>
      </w:pPr>
      <w:r>
        <w:rPr>
          <w:rFonts w:ascii="Arial" w:cs="Arial" w:eastAsia="Arial" w:hAnsi="Arial"/>
          <w:i/>
          <w:iCs/>
          <w:color w:val="1F1E1E"/>
          <w:sz w:val="22"/>
          <w:szCs w:val="22"/>
        </w:rPr>
        <w:t xml:space="preserve">Ref: Policy No. 20 (Volunteer Management), Policy No. 32 (Youth Engagement), OSHA Outdoor Heat Illness Prevention</w:t>
      </w:r>
    </w:p>
    <w:p>
      <w:pPr>
        <w:spacing w:after="120" w:before="60" w:line="320"/>
        <w:jc w:val="both"/>
      </w:pPr>
      <w:r>
        <w:rPr>
          <w:rFonts w:ascii="Arial" w:cs="Arial" w:eastAsia="Arial" w:hAnsi="Arial"/>
          <w:b/>
          <w:bCs/>
          <w:color w:val="1F1E1E"/>
          <w:sz w:val="22"/>
          <w:szCs w:val="22"/>
        </w:rPr>
        <w:t xml:space="preserve">Site Safety Inspection</w:t>
      </w:r>
    </w:p>
    <w:p>
      <w:pPr>
        <w:pStyle w:val="ListParagraph"/>
        <w:numPr>
          <w:ilvl w:val="0"/>
          <w:numId w:val="2"/>
        </w:numPr>
        <w:spacing w:after="40" w:before="40" w:line="300"/>
      </w:pPr>
      <w:r>
        <w:rPr>
          <w:rFonts w:ascii="Arial" w:cs="Arial" w:eastAsia="Arial" w:hAnsi="Arial"/>
          <w:color w:val="1F1E1E"/>
          <w:sz w:val="22"/>
          <w:szCs w:val="22"/>
        </w:rPr>
        <w:t xml:space="preserve">☐ Walk the entire property to identify and remove hazards (uneven ground, holes, loose pavers, low branches, broken glass, sharp objects)</w:t>
      </w:r>
    </w:p>
    <w:p>
      <w:pPr>
        <w:pStyle w:val="ListParagraph"/>
        <w:numPr>
          <w:ilvl w:val="0"/>
          <w:numId w:val="2"/>
        </w:numPr>
        <w:spacing w:after="40" w:before="40" w:line="300"/>
      </w:pPr>
      <w:r>
        <w:rPr>
          <w:rFonts w:ascii="Arial" w:cs="Arial" w:eastAsia="Arial" w:hAnsi="Arial"/>
          <w:color w:val="1F1E1E"/>
          <w:sz w:val="22"/>
          <w:szCs w:val="22"/>
        </w:rPr>
        <w:t xml:space="preserve">☐ Identify and flag biological hazards (poison ivy, fire ant mounds, wasp/bee nests, venomous snake habitats, thorny plants)</w:t>
      </w:r>
    </w:p>
    <w:p>
      <w:pPr>
        <w:pStyle w:val="ListParagraph"/>
        <w:numPr>
          <w:ilvl w:val="0"/>
          <w:numId w:val="2"/>
        </w:numPr>
        <w:spacing w:after="40" w:before="40" w:line="300"/>
      </w:pPr>
      <w:r>
        <w:rPr>
          <w:rFonts w:ascii="Arial" w:cs="Arial" w:eastAsia="Arial" w:hAnsi="Arial"/>
          <w:color w:val="1F1E1E"/>
          <w:sz w:val="22"/>
          <w:szCs w:val="22"/>
        </w:rPr>
        <w:t xml:space="preserve">☐ Check for toxic plants in work areas (per Policy No. 31 and Policy No. 32 exclusion lists)</w:t>
      </w:r>
    </w:p>
    <w:p>
      <w:pPr>
        <w:pStyle w:val="ListParagraph"/>
        <w:numPr>
          <w:ilvl w:val="0"/>
          <w:numId w:val="2"/>
        </w:numPr>
        <w:spacing w:after="40" w:before="40" w:line="300"/>
      </w:pPr>
      <w:r>
        <w:rPr>
          <w:rFonts w:ascii="Arial" w:cs="Arial" w:eastAsia="Arial" w:hAnsi="Arial"/>
          <w:color w:val="1F1E1E"/>
          <w:sz w:val="22"/>
          <w:szCs w:val="22"/>
        </w:rPr>
        <w:t xml:space="preserve">☐ Secure or remove pets from volunteer work areas (per Policy No. 30 — animals may cause allergic reactions or injuries)</w:t>
      </w:r>
    </w:p>
    <w:p>
      <w:pPr>
        <w:pStyle w:val="ListParagraph"/>
        <w:numPr>
          <w:ilvl w:val="0"/>
          <w:numId w:val="2"/>
        </w:numPr>
        <w:spacing w:after="40" w:before="40" w:line="300"/>
      </w:pPr>
      <w:r>
        <w:rPr>
          <w:rFonts w:ascii="Arial" w:cs="Arial" w:eastAsia="Arial" w:hAnsi="Arial"/>
          <w:color w:val="1F1E1E"/>
          <w:sz w:val="22"/>
          <w:szCs w:val="22"/>
        </w:rPr>
        <w:t xml:space="preserve">☐ Confirm structural safety of any covered areas (pergolas, sheds, fences that volunteers may use or work near)</w:t>
      </w:r>
    </w:p>
    <w:p>
      <w:pPr>
        <w:spacing w:after="120" w:before="60" w:line="320"/>
        <w:jc w:val="both"/>
      </w:pPr>
      <w:r>
        <w:rPr>
          <w:rFonts w:ascii="Arial" w:cs="Arial" w:eastAsia="Arial" w:hAnsi="Arial"/>
          <w:b/>
          <w:bCs/>
          <w:color w:val="1F1E1E"/>
          <w:sz w:val="22"/>
          <w:szCs w:val="22"/>
        </w:rPr>
        <w:t xml:space="preserve">Equipment &amp; Supplies</w:t>
      </w:r>
    </w:p>
    <w:p>
      <w:pPr>
        <w:pStyle w:val="ListParagraph"/>
        <w:numPr>
          <w:ilvl w:val="0"/>
          <w:numId w:val="2"/>
        </w:numPr>
        <w:spacing w:after="40" w:before="40" w:line="300"/>
      </w:pPr>
      <w:r>
        <w:rPr>
          <w:rFonts w:ascii="Arial" w:cs="Arial" w:eastAsia="Arial" w:hAnsi="Arial"/>
          <w:color w:val="1F1E1E"/>
          <w:sz w:val="22"/>
          <w:szCs w:val="22"/>
        </w:rPr>
        <w:t xml:space="preserve">☐ Inventory all tools; remove damaged or defective items (OSHA 1926.300-307: hand/power tool standards)</w:t>
      </w:r>
    </w:p>
    <w:p>
      <w:pPr>
        <w:pStyle w:val="ListParagraph"/>
        <w:numPr>
          <w:ilvl w:val="0"/>
          <w:numId w:val="2"/>
        </w:numPr>
        <w:spacing w:after="40" w:before="40" w:line="300"/>
      </w:pPr>
      <w:r>
        <w:rPr>
          <w:rFonts w:ascii="Arial" w:cs="Arial" w:eastAsia="Arial" w:hAnsi="Arial"/>
          <w:color w:val="1F1E1E"/>
          <w:sz w:val="22"/>
          <w:szCs w:val="22"/>
        </w:rPr>
        <w:t xml:space="preserve">☐ Stage first aid kit with required contents (bandages, antiseptic, eye wash, insect sting kit, latex-free gloves, burn gel)</w:t>
      </w:r>
    </w:p>
    <w:p>
      <w:pPr>
        <w:pStyle w:val="ListParagraph"/>
        <w:numPr>
          <w:ilvl w:val="0"/>
          <w:numId w:val="2"/>
        </w:numPr>
        <w:spacing w:after="40" w:before="40" w:line="300"/>
      </w:pPr>
      <w:r>
        <w:rPr>
          <w:rFonts w:ascii="Arial" w:cs="Arial" w:eastAsia="Arial" w:hAnsi="Arial"/>
          <w:color w:val="1F1E1E"/>
          <w:sz w:val="22"/>
          <w:szCs w:val="22"/>
        </w:rPr>
        <w:t xml:space="preserve">☐ Prepare water supply: minimum 1 quart per volunteer per hour (OSHA heat illness prevention standard); plus electrolyte packets</w:t>
      </w:r>
    </w:p>
    <w:p>
      <w:pPr>
        <w:pStyle w:val="ListParagraph"/>
        <w:numPr>
          <w:ilvl w:val="0"/>
          <w:numId w:val="2"/>
        </w:numPr>
        <w:spacing w:after="40" w:before="40" w:line="300"/>
      </w:pPr>
      <w:r>
        <w:rPr>
          <w:rFonts w:ascii="Arial" w:cs="Arial" w:eastAsia="Arial" w:hAnsi="Arial"/>
          <w:color w:val="1F1E1E"/>
          <w:sz w:val="22"/>
          <w:szCs w:val="22"/>
        </w:rPr>
        <w:t xml:space="preserve">☐ Set up shade structure or identify indoor cool-down area (required when heat index forecast exceeds 80°F)</w:t>
      </w:r>
    </w:p>
    <w:p>
      <w:pPr>
        <w:pStyle w:val="ListParagraph"/>
        <w:numPr>
          <w:ilvl w:val="0"/>
          <w:numId w:val="2"/>
        </w:numPr>
        <w:spacing w:after="40" w:before="40" w:line="300"/>
      </w:pPr>
      <w:r>
        <w:rPr>
          <w:rFonts w:ascii="Arial" w:cs="Arial" w:eastAsia="Arial" w:hAnsi="Arial"/>
          <w:color w:val="1F1E1E"/>
          <w:sz w:val="22"/>
          <w:szCs w:val="22"/>
        </w:rPr>
        <w:t xml:space="preserve">☐ Prepare sunscreen (SPF 30+) for volunteers (optional but recommended; provide as communal supply)</w:t>
      </w:r>
    </w:p>
    <w:p>
      <w:pPr>
        <w:pStyle w:val="ListParagraph"/>
        <w:numPr>
          <w:ilvl w:val="0"/>
          <w:numId w:val="2"/>
        </w:numPr>
        <w:spacing w:after="40" w:before="40" w:line="300"/>
      </w:pPr>
      <w:r>
        <w:rPr>
          <w:rFonts w:ascii="Arial" w:cs="Arial" w:eastAsia="Arial" w:hAnsi="Arial"/>
          <w:color w:val="1F1E1E"/>
          <w:sz w:val="22"/>
          <w:szCs w:val="22"/>
        </w:rPr>
        <w:t xml:space="preserve">☐ Stage portable restroom or confirm restroom access (required for events exceeding 2 hours)</w:t>
      </w:r>
    </w:p>
    <w:p>
      <w:pPr>
        <w:pStyle w:val="ListParagraph"/>
        <w:numPr>
          <w:ilvl w:val="0"/>
          <w:numId w:val="2"/>
        </w:numPr>
        <w:spacing w:after="40" w:before="40" w:line="300"/>
      </w:pPr>
      <w:r>
        <w:rPr>
          <w:rFonts w:ascii="Arial" w:cs="Arial" w:eastAsia="Arial" w:hAnsi="Arial"/>
          <w:color w:val="1F1E1E"/>
          <w:sz w:val="22"/>
          <w:szCs w:val="22"/>
        </w:rPr>
        <w:t xml:space="preserve">☐ Prepare PPE: gloves, eye protection, closed-toe shoe requirement notice (per OSHA PPE standards and Policy No. 32 tool safety protocols)</w:t>
      </w:r>
    </w:p>
    <w:p>
      <w:pPr>
        <w:spacing w:after="120" w:before="60" w:line="320"/>
        <w:jc w:val="both"/>
      </w:pPr>
      <w:r>
        <w:rPr>
          <w:rFonts w:ascii="Arial" w:cs="Arial" w:eastAsia="Arial" w:hAnsi="Arial"/>
          <w:b/>
          <w:bCs/>
          <w:color w:val="1F1E1E"/>
          <w:sz w:val="22"/>
          <w:szCs w:val="22"/>
        </w:rPr>
        <w:t xml:space="preserve">Tiered First-Aid Requirements</w:t>
      </w:r>
    </w:p>
    <w:p>
      <w:pPr>
        <w:spacing w:after="120" w:before="60" w:line="320"/>
        <w:jc w:val="both"/>
      </w:pPr>
      <w:r>
        <w:rPr>
          <w:rFonts w:ascii="Arial" w:cs="Arial" w:eastAsia="Arial" w:hAnsi="Arial"/>
          <w:color w:val="1F1E1E"/>
          <w:sz w:val="22"/>
          <w:szCs w:val="22"/>
        </w:rPr>
        <w:t xml:space="preserve">Events shall have on-site first-aid resources scaled to expected attendance:</w:t>
      </w:r>
    </w:p>
    <w:p>
      <w:pPr>
        <w:spacing w:after="120" w:before="60" w:line="320"/>
        <w:jc w:val="both"/>
      </w:pPr>
      <w:r>
        <w:rPr>
          <w:rFonts w:ascii="Arial" w:cs="Arial" w:eastAsia="Arial" w:hAnsi="Arial"/>
          <w:color w:val="1F1E1E"/>
          <w:sz w:val="22"/>
          <w:szCs w:val="22"/>
        </w:rPr>
        <w:t xml:space="preserve">(a) Up to 20 volunteers: standard first-aid kit plus at least one designated first-aid responder.</w:t>
      </w:r>
    </w:p>
    <w:p>
      <w:pPr>
        <w:spacing w:after="120" w:before="60" w:line="320"/>
        <w:jc w:val="both"/>
      </w:pPr>
      <w:r>
        <w:rPr>
          <w:rFonts w:ascii="Arial" w:cs="Arial" w:eastAsia="Arial" w:hAnsi="Arial"/>
          <w:color w:val="1F1E1E"/>
          <w:sz w:val="22"/>
          <w:szCs w:val="22"/>
        </w:rPr>
        <w:t xml:space="preserve">(b) 21–50 volunteers: standard kit, designated responder, and an </w:t>
      </w:r>
      <w:r>
        <w:rPr>
          <w:rFonts w:ascii="Arial" w:cs="Arial" w:eastAsia="Arial" w:hAnsi="Arial"/>
          <w:b/>
          <w:bCs/>
          <w:color w:val="1F1E1E"/>
          <w:sz w:val="22"/>
          <w:szCs w:val="22"/>
        </w:rPr>
        <w:t xml:space="preserve">AED</w:t>
      </w:r>
      <w:r>
        <w:rPr>
          <w:rFonts w:ascii="Arial" w:cs="Arial" w:eastAsia="Arial" w:hAnsi="Arial"/>
          <w:color w:val="1F1E1E"/>
          <w:sz w:val="22"/>
          <w:szCs w:val="22"/>
        </w:rPr>
        <w:t xml:space="preserve"> within 3 minutes' travel time (either on-site or via documented access at adjacent facility).</w:t>
      </w:r>
    </w:p>
    <w:p>
      <w:pPr>
        <w:spacing w:after="120" w:before="60" w:line="320"/>
        <w:jc w:val="both"/>
      </w:pPr>
      <w:r>
        <w:rPr>
          <w:rFonts w:ascii="Arial" w:cs="Arial" w:eastAsia="Arial" w:hAnsi="Arial"/>
          <w:color w:val="1F1E1E"/>
          <w:sz w:val="22"/>
          <w:szCs w:val="22"/>
        </w:rPr>
        <w:t xml:space="preserve">(c) 51+ volunteers: on-site AED, two designated responders with current </w:t>
      </w:r>
      <w:r>
        <w:rPr>
          <w:rFonts w:ascii="Arial" w:cs="Arial" w:eastAsia="Arial" w:hAnsi="Arial"/>
          <w:b/>
          <w:bCs/>
          <w:color w:val="1F1E1E"/>
          <w:sz w:val="22"/>
          <w:szCs w:val="22"/>
        </w:rPr>
        <w:t xml:space="preserve">CPR/AED certification</w:t>
      </w:r>
      <w:r>
        <w:rPr>
          <w:rFonts w:ascii="Arial" w:cs="Arial" w:eastAsia="Arial" w:hAnsi="Arial"/>
          <w:color w:val="1F1E1E"/>
          <w:sz w:val="22"/>
          <w:szCs w:val="22"/>
        </w:rPr>
        <w:t xml:space="preserve">, and one responder with Wilderness First-Aid or equivalent if the event is in a remote setting.</w:t>
      </w:r>
    </w:p>
    <w:p>
      <w:pPr>
        <w:spacing w:after="120" w:before="60" w:line="320"/>
        <w:jc w:val="both"/>
      </w:pPr>
      <w:r>
        <w:rPr>
          <w:rFonts w:ascii="Arial" w:cs="Arial" w:eastAsia="Arial" w:hAnsi="Arial"/>
          <w:color w:val="1F1E1E"/>
          <w:sz w:val="22"/>
          <w:szCs w:val="22"/>
        </w:rPr>
        <w:t xml:space="preserve">Designated responders shall wear an identifying armband or vest. The Foundation maintains a register of certified responders and may subsidize certification renewal for active stewards.</w:t>
      </w:r>
    </w:p>
    <w:p>
      <w:pPr>
        <w:keepNext/>
        <w:spacing w:after="120" w:before="240"/>
      </w:pPr>
      <w:r>
        <w:rPr>
          <w:rFonts w:ascii="Arial" w:cs="Arial" w:eastAsia="Arial" w:hAnsi="Arial"/>
          <w:b/>
          <w:bCs/>
          <w:color w:val="3B5937"/>
          <w:sz w:val="22"/>
          <w:szCs w:val="22"/>
        </w:rPr>
        <w:t xml:space="preserve">1.2 Legal &amp; Administrative</w:t>
      </w:r>
    </w:p>
    <w:p>
      <w:pPr>
        <w:spacing w:after="120" w:before="60" w:line="320"/>
        <w:jc w:val="both"/>
      </w:pPr>
      <w:r>
        <w:rPr>
          <w:rFonts w:ascii="Arial" w:cs="Arial" w:eastAsia="Arial" w:hAnsi="Arial"/>
          <w:i/>
          <w:iCs/>
          <w:color w:val="1F1E1E"/>
          <w:sz w:val="22"/>
          <w:szCs w:val="22"/>
        </w:rPr>
        <w:t xml:space="preserve">Ref: TX Civil Practice &amp; Remedies Code Ch. 84, Volunteer Protection Act (42 U.S.C. §§ 14501-14505), Policy No. 20</w:t>
      </w:r>
    </w:p>
    <w:p>
      <w:pPr>
        <w:spacing w:after="120" w:before="60" w:line="320"/>
        <w:jc w:val="both"/>
      </w:pPr>
      <w:r>
        <w:rPr>
          <w:rFonts w:ascii="Arial" w:cs="Arial" w:eastAsia="Arial" w:hAnsi="Arial"/>
          <w:b/>
          <w:bCs/>
          <w:color w:val="1F1E1E"/>
          <w:sz w:val="22"/>
          <w:szCs w:val="22"/>
        </w:rPr>
        <w:t xml:space="preserve">Waivers &amp; Agreements</w:t>
      </w:r>
    </w:p>
    <w:p>
      <w:pPr>
        <w:spacing w:after="120" w:before="60" w:line="320"/>
        <w:jc w:val="both"/>
      </w:pPr>
      <w:r>
        <w:rPr>
          <w:rFonts w:ascii="Arial" w:cs="Arial" w:eastAsia="Arial" w:hAnsi="Arial"/>
          <w:color w:val="1F1E1E"/>
          <w:sz w:val="22"/>
          <w:szCs w:val="22"/>
        </w:rPr>
        <w:t xml:space="preserve">The Foundation's </w:t>
      </w:r>
      <w:r>
        <w:rPr>
          <w:rFonts w:ascii="Arial" w:cs="Arial" w:eastAsia="Arial" w:hAnsi="Arial"/>
          <w:b/>
          <w:bCs/>
          <w:color w:val="1F1E1E"/>
          <w:sz w:val="22"/>
          <w:szCs w:val="22"/>
        </w:rPr>
        <w:t xml:space="preserve">Adult Participant Waiver</w:t>
      </w:r>
      <w:r>
        <w:rPr>
          <w:rFonts w:ascii="Arial" w:cs="Arial" w:eastAsia="Arial" w:hAnsi="Arial"/>
          <w:color w:val="1F1E1E"/>
          <w:sz w:val="22"/>
          <w:szCs w:val="22"/>
        </w:rPr>
        <w:t xml:space="preserve"> and </w:t>
      </w:r>
      <w:r>
        <w:rPr>
          <w:rFonts w:ascii="Arial" w:cs="Arial" w:eastAsia="Arial" w:hAnsi="Arial"/>
          <w:b/>
          <w:bCs/>
          <w:color w:val="1F1E1E"/>
          <w:sz w:val="22"/>
          <w:szCs w:val="22"/>
        </w:rPr>
        <w:t xml:space="preserve">Parent/Guardian Waiver</w:t>
      </w:r>
      <w:r>
        <w:rPr>
          <w:rFonts w:ascii="Arial" w:cs="Arial" w:eastAsia="Arial" w:hAnsi="Arial"/>
          <w:color w:val="1F1E1E"/>
          <w:sz w:val="22"/>
          <w:szCs w:val="22"/>
        </w:rPr>
        <w:t xml:space="preserve">, which volunteers must execute, are drafted to satisfy the conspicuousness and express-negligence requirements of Texas common law (Dresser Indus. v. Page Petroleum, 853 S.W.2d 505 (Tex. 1993)), and to invoke the volunteer-protection framework of the Texas Charitable Immunity and Liability Act, Texas Civil Practice &amp; Remedies Code Ch. 84, and the federal Volunteer Protection Act, 42 U.S.C. §§ 14501–14505.</w:t>
      </w:r>
    </w:p>
    <w:p>
      <w:pPr>
        <w:spacing w:after="120" w:before="60" w:line="320"/>
        <w:jc w:val="both"/>
      </w:pPr>
      <w:r>
        <w:rPr>
          <w:rFonts w:ascii="Arial" w:cs="Arial" w:eastAsia="Arial" w:hAnsi="Arial"/>
          <w:color w:val="1F1E1E"/>
          <w:sz w:val="22"/>
          <w:szCs w:val="22"/>
        </w:rPr>
        <w:t xml:space="preserve">Stewards may not substitute their own waiver forms; only the Foundation-approved master form satisfies these requirements. Waivers shall be retained per Holon Foundation Policy No. 06 for the longer of seven (7) years from the event date or two (2) years after the participant's eighteenth (18th) birthday for minor signers.</w:t>
      </w:r>
    </w:p>
    <w:p>
      <w:pPr>
        <w:pStyle w:val="ListParagraph"/>
        <w:numPr>
          <w:ilvl w:val="0"/>
          <w:numId w:val="2"/>
        </w:numPr>
        <w:spacing w:after="40" w:before="40" w:line="300"/>
      </w:pPr>
      <w:r>
        <w:rPr>
          <w:rFonts w:ascii="Arial" w:cs="Arial" w:eastAsia="Arial" w:hAnsi="Arial"/>
          <w:color w:val="1F1E1E"/>
          <w:sz w:val="22"/>
          <w:szCs w:val="22"/>
        </w:rPr>
        <w:t xml:space="preserve">☐ Confirm signed Steward Host Agreement on file (one-time; available in Portal)</w:t>
      </w:r>
    </w:p>
    <w:p>
      <w:pPr>
        <w:pStyle w:val="ListParagraph"/>
        <w:numPr>
          <w:ilvl w:val="0"/>
          <w:numId w:val="2"/>
        </w:numPr>
        <w:spacing w:after="40" w:before="40" w:line="300"/>
      </w:pPr>
      <w:r>
        <w:rPr>
          <w:rFonts w:ascii="Arial" w:cs="Arial" w:eastAsia="Arial" w:hAnsi="Arial"/>
          <w:color w:val="1F1E1E"/>
          <w:sz w:val="22"/>
          <w:szCs w:val="22"/>
        </w:rPr>
        <w:t xml:space="preserve">☐ Verify all registered volunteers have signed digital waivers (Adult Participant Waiver or Parent/Guardian Waiver for minors)</w:t>
      </w:r>
    </w:p>
    <w:p>
      <w:pPr>
        <w:pStyle w:val="ListParagraph"/>
        <w:numPr>
          <w:ilvl w:val="0"/>
          <w:numId w:val="2"/>
        </w:numPr>
        <w:spacing w:after="40" w:before="40" w:line="300"/>
      </w:pPr>
      <w:r>
        <w:rPr>
          <w:rFonts w:ascii="Arial" w:cs="Arial" w:eastAsia="Arial" w:hAnsi="Arial"/>
          <w:color w:val="1F1E1E"/>
          <w:sz w:val="22"/>
          <w:szCs w:val="22"/>
        </w:rPr>
        <w:t xml:space="preserve">☐ Prepare blank printed Foundation-approved waivers for walk-in volunteers</w:t>
      </w:r>
    </w:p>
    <w:p>
      <w:pPr>
        <w:keepNext/>
        <w:spacing w:after="120" w:before="240"/>
      </w:pPr>
      <w:r>
        <w:rPr>
          <w:rFonts w:ascii="Arial" w:cs="Arial" w:eastAsia="Arial" w:hAnsi="Arial"/>
          <w:b/>
          <w:bCs/>
          <w:color w:val="3B5937"/>
          <w:sz w:val="22"/>
          <w:szCs w:val="22"/>
        </w:rPr>
        <w:t xml:space="preserve">1.3 Environmental Compliance</w:t>
      </w:r>
    </w:p>
    <w:p>
      <w:pPr>
        <w:spacing w:after="120" w:before="60" w:line="320"/>
        <w:jc w:val="both"/>
      </w:pPr>
      <w:r>
        <w:rPr>
          <w:rFonts w:ascii="Arial" w:cs="Arial" w:eastAsia="Arial" w:hAnsi="Arial"/>
          <w:i/>
          <w:iCs/>
          <w:color w:val="1F1E1E"/>
          <w:sz w:val="22"/>
          <w:szCs w:val="22"/>
        </w:rPr>
        <w:t xml:space="preserve">Ref: Policy No. 18, EPA/TCEQ, FIFRA</w:t>
      </w:r>
    </w:p>
    <w:p>
      <w:pPr>
        <w:pStyle w:val="ListParagraph"/>
        <w:numPr>
          <w:ilvl w:val="0"/>
          <w:numId w:val="2"/>
        </w:numPr>
        <w:spacing w:after="40" w:before="40" w:line="300"/>
      </w:pPr>
      <w:r>
        <w:rPr>
          <w:rFonts w:ascii="Arial" w:cs="Arial" w:eastAsia="Arial" w:hAnsi="Arial"/>
          <w:color w:val="1F1E1E"/>
          <w:sz w:val="22"/>
          <w:szCs w:val="22"/>
        </w:rPr>
        <w:t xml:space="preserve">☐ Confirm no use of restricted-use pesticides during or before the event</w:t>
      </w:r>
    </w:p>
    <w:p>
      <w:pPr>
        <w:pStyle w:val="ListParagraph"/>
        <w:numPr>
          <w:ilvl w:val="0"/>
          <w:numId w:val="2"/>
        </w:numPr>
        <w:spacing w:after="40" w:before="40" w:line="300"/>
      </w:pPr>
      <w:r>
        <w:rPr>
          <w:rFonts w:ascii="Arial" w:cs="Arial" w:eastAsia="Arial" w:hAnsi="Arial"/>
          <w:color w:val="1F1E1E"/>
          <w:sz w:val="22"/>
          <w:szCs w:val="22"/>
        </w:rPr>
        <w:t xml:space="preserve">☐ Document any planting activity for impact reporting per Policy No. 18</w:t>
      </w:r>
    </w:p>
    <w:p>
      <w:pPr>
        <w:keepNext/>
        <w:spacing w:after="120" w:before="240"/>
      </w:pPr>
      <w:r>
        <w:rPr>
          <w:rFonts w:ascii="Arial" w:cs="Arial" w:eastAsia="Arial" w:hAnsi="Arial"/>
          <w:b/>
          <w:bCs/>
          <w:color w:val="3B5937"/>
          <w:sz w:val="22"/>
          <w:szCs w:val="22"/>
        </w:rPr>
        <w:t xml:space="preserve">1.4 Privacy &amp; Data Protection</w:t>
      </w:r>
    </w:p>
    <w:p>
      <w:pPr>
        <w:spacing w:after="120" w:before="60" w:line="320"/>
        <w:jc w:val="both"/>
      </w:pPr>
      <w:r>
        <w:rPr>
          <w:rFonts w:ascii="Arial" w:cs="Arial" w:eastAsia="Arial" w:hAnsi="Arial"/>
          <w:i/>
          <w:iCs/>
          <w:color w:val="1F1E1E"/>
          <w:sz w:val="22"/>
          <w:szCs w:val="22"/>
        </w:rPr>
        <w:t xml:space="preserve">Ref: Policy No. 15, TDPSA, COPPA, Texas SCOPE Act</w:t>
      </w:r>
    </w:p>
    <w:p>
      <w:pPr>
        <w:pStyle w:val="ListParagraph"/>
        <w:numPr>
          <w:ilvl w:val="0"/>
          <w:numId w:val="2"/>
        </w:numPr>
        <w:spacing w:after="40" w:before="40" w:line="300"/>
      </w:pPr>
      <w:r>
        <w:rPr>
          <w:rFonts w:ascii="Arial" w:cs="Arial" w:eastAsia="Arial" w:hAnsi="Arial"/>
          <w:color w:val="1F1E1E"/>
          <w:sz w:val="22"/>
          <w:szCs w:val="22"/>
        </w:rPr>
        <w:t xml:space="preserve">☐ Photo/video consent obtained for any identifiable individual; minor consent under COPPA / SCOPE Act per Policy No. 14</w:t>
      </w:r>
    </w:p>
    <w:p>
      <w:pPr>
        <w:pStyle w:val="ListParagraph"/>
        <w:numPr>
          <w:ilvl w:val="0"/>
          <w:numId w:val="2"/>
        </w:numPr>
        <w:spacing w:after="40" w:before="40" w:line="300"/>
      </w:pPr>
      <w:r>
        <w:rPr>
          <w:rFonts w:ascii="Arial" w:cs="Arial" w:eastAsia="Arial" w:hAnsi="Arial"/>
          <w:color w:val="1F1E1E"/>
          <w:sz w:val="22"/>
          <w:szCs w:val="22"/>
        </w:rPr>
        <w:t xml:space="preserve">☐ Volunteer registration data handled per Policy No. 15 minimization standards</w:t>
      </w:r>
    </w:p>
    <w:p>
      <w:pPr>
        <w:keepNext/>
        <w:spacing w:after="120" w:before="240"/>
      </w:pPr>
      <w:r>
        <w:rPr>
          <w:rFonts w:ascii="Arial" w:cs="Arial" w:eastAsia="Arial" w:hAnsi="Arial"/>
          <w:b/>
          <w:bCs/>
          <w:color w:val="3B5937"/>
          <w:sz w:val="22"/>
          <w:szCs w:val="22"/>
        </w:rPr>
        <w:t xml:space="preserve">1.5 Diversity, Equity, Inclusion &amp; Accessibility</w:t>
      </w:r>
    </w:p>
    <w:p>
      <w:pPr>
        <w:spacing w:after="120" w:before="60" w:line="320"/>
        <w:jc w:val="both"/>
      </w:pPr>
      <w:r>
        <w:rPr>
          <w:rFonts w:ascii="Arial" w:cs="Arial" w:eastAsia="Arial" w:hAnsi="Arial"/>
          <w:i/>
          <w:iCs/>
          <w:color w:val="1F1E1E"/>
          <w:sz w:val="22"/>
          <w:szCs w:val="22"/>
        </w:rPr>
        <w:t xml:space="preserve">Ref: ADA Title III, Policy No. 10 (Code of Conduct), Points of Light Inclusive Volunteering</w:t>
      </w:r>
    </w:p>
    <w:p>
      <w:pPr>
        <w:spacing w:after="120" w:before="60" w:line="320"/>
        <w:jc w:val="both"/>
      </w:pPr>
      <w:r>
        <w:rPr>
          <w:rFonts w:ascii="Arial" w:cs="Arial" w:eastAsia="Arial" w:hAnsi="Arial"/>
          <w:b/>
          <w:bCs/>
          <w:color w:val="1F1E1E"/>
          <w:sz w:val="22"/>
          <w:szCs w:val="22"/>
        </w:rPr>
        <w:t xml:space="preserve">Reasonable Accommodations.</w:t>
      </w:r>
      <w:r>
        <w:rPr>
          <w:rFonts w:ascii="Arial" w:cs="Arial" w:eastAsia="Arial" w:hAnsi="Arial"/>
          <w:color w:val="1F1E1E"/>
          <w:sz w:val="22"/>
          <w:szCs w:val="22"/>
        </w:rPr>
        <w:t xml:space="preserve"> The Foundation is committed to making volunteer events accessible to persons with disabilities consistent with ADA Title III. Registration forms shall include a request-for-accommodation field permitting volunteers to disclose accessibility needs at least 7 days in advance. The host steward shall:</w:t>
      </w:r>
    </w:p>
    <w:p>
      <w:pPr>
        <w:spacing w:after="120" w:before="60" w:line="320"/>
        <w:jc w:val="both"/>
      </w:pPr>
      <w:r>
        <w:rPr>
          <w:rFonts w:ascii="Arial" w:cs="Arial" w:eastAsia="Arial" w:hAnsi="Arial"/>
          <w:color w:val="1F1E1E"/>
          <w:sz w:val="22"/>
          <w:szCs w:val="22"/>
        </w:rPr>
        <w:t xml:space="preserve">(a) review accommodation requests upon receipt;</w:t>
      </w:r>
    </w:p>
    <w:p>
      <w:pPr>
        <w:spacing w:after="120" w:before="60" w:line="320"/>
        <w:jc w:val="both"/>
      </w:pPr>
      <w:r>
        <w:rPr>
          <w:rFonts w:ascii="Arial" w:cs="Arial" w:eastAsia="Arial" w:hAnsi="Arial"/>
          <w:color w:val="1F1E1E"/>
          <w:sz w:val="22"/>
          <w:szCs w:val="22"/>
        </w:rPr>
        <w:t xml:space="preserve">(b) coordinate reasonable accommodations including but not limited to seated/low-impact work options, wheelchair-accessible pathways and rest areas, ASL interpretation for orientations of more than 25 attendees (at the Foundation's expense), large-print materials, alternative communication methods, service-animal accommodations, and accessible parking;</w:t>
      </w:r>
    </w:p>
    <w:p>
      <w:pPr>
        <w:spacing w:after="120" w:before="60" w:line="320"/>
        <w:jc w:val="both"/>
      </w:pPr>
      <w:r>
        <w:rPr>
          <w:rFonts w:ascii="Arial" w:cs="Arial" w:eastAsia="Arial" w:hAnsi="Arial"/>
          <w:color w:val="1F1E1E"/>
          <w:sz w:val="22"/>
          <w:szCs w:val="22"/>
        </w:rPr>
        <w:t xml:space="preserve">(c) consult the Executive Director if any accommodation would impose undue financial or administrative burden;</w:t>
      </w:r>
    </w:p>
    <w:p>
      <w:pPr>
        <w:spacing w:after="120" w:before="60" w:line="320"/>
        <w:jc w:val="both"/>
      </w:pPr>
      <w:r>
        <w:rPr>
          <w:rFonts w:ascii="Arial" w:cs="Arial" w:eastAsia="Arial" w:hAnsi="Arial"/>
          <w:color w:val="1F1E1E"/>
          <w:sz w:val="22"/>
          <w:szCs w:val="22"/>
        </w:rPr>
        <w:t xml:space="preserve">(d) document the request and resolution in the event close-out report.</w:t>
      </w:r>
    </w:p>
    <w:p>
      <w:pPr>
        <w:spacing w:after="120" w:before="60" w:line="320"/>
        <w:jc w:val="both"/>
      </w:pPr>
      <w:r>
        <w:rPr>
          <w:rFonts w:ascii="Arial" w:cs="Arial" w:eastAsia="Arial" w:hAnsi="Arial"/>
          <w:color w:val="1F1E1E"/>
          <w:sz w:val="22"/>
          <w:szCs w:val="22"/>
        </w:rPr>
        <w:t xml:space="preserve">Denial of accommodation requires Executive Director approval and written explanation to the requester.</w:t>
      </w:r>
    </w:p>
    <w:p>
      <w:pPr>
        <w:keepNext/>
        <w:spacing w:after="160" w:before="360"/>
      </w:pPr>
      <w:r>
        <w:rPr>
          <w:rFonts w:ascii="Arial" w:cs="Arial" w:eastAsia="Arial" w:hAnsi="Arial"/>
          <w:b/>
          <w:bCs/>
          <w:color w:val="561217"/>
          <w:sz w:val="26"/>
          <w:szCs w:val="26"/>
        </w:rPr>
        <w:t xml:space="preserve">Phase 2: Day-Of Setup (Event Morning)</w:t>
      </w:r>
    </w:p>
    <w:p>
      <w:pPr>
        <w:keepNext/>
        <w:spacing w:after="120" w:before="240"/>
      </w:pPr>
      <w:r>
        <w:rPr>
          <w:rFonts w:ascii="Arial" w:cs="Arial" w:eastAsia="Arial" w:hAnsi="Arial"/>
          <w:b/>
          <w:bCs/>
          <w:color w:val="3B5937"/>
          <w:sz w:val="22"/>
          <w:szCs w:val="22"/>
        </w:rPr>
        <w:t xml:space="preserve">2.1 Weather &amp; Go/No-Go Decision</w:t>
      </w:r>
    </w:p>
    <w:p>
      <w:pPr>
        <w:spacing w:after="120" w:before="60" w:line="320"/>
        <w:jc w:val="both"/>
      </w:pPr>
      <w:r>
        <w:rPr>
          <w:rFonts w:ascii="Arial" w:cs="Arial" w:eastAsia="Arial" w:hAnsi="Arial"/>
          <w:color w:val="1F1E1E"/>
          <w:sz w:val="22"/>
          <w:szCs w:val="22"/>
        </w:rPr>
        <w:t xml:space="preserve">Events shall be canceled, modified, or suspended at the following thresholds:</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Heat.</w:t>
      </w:r>
      <w:r>
        <w:rPr>
          <w:rFonts w:ascii="Arial" w:cs="Arial" w:eastAsia="Arial" w:hAnsi="Arial"/>
          <w:color w:val="1F1E1E"/>
          <w:sz w:val="22"/>
          <w:szCs w:val="22"/>
        </w:rPr>
        <w:t xml:space="preserve"> Cancel or move indoors when forecast heat index reaches 103°F or higher between 10am and 4pm; modify (shorten, additional breaks, mandatory hydration tracking) at heat index 90–102°F.</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Cold.</w:t>
      </w:r>
      <w:r>
        <w:rPr>
          <w:rFonts w:ascii="Arial" w:cs="Arial" w:eastAsia="Arial" w:hAnsi="Arial"/>
          <w:color w:val="1F1E1E"/>
          <w:sz w:val="22"/>
          <w:szCs w:val="22"/>
        </w:rPr>
        <w:t xml:space="preserve"> Cancel when forecast wind chill is below 32°F.</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Precipitation.</w:t>
      </w:r>
      <w:r>
        <w:rPr>
          <w:rFonts w:ascii="Arial" w:cs="Arial" w:eastAsia="Arial" w:hAnsi="Arial"/>
          <w:color w:val="1F1E1E"/>
          <w:sz w:val="22"/>
          <w:szCs w:val="22"/>
        </w:rPr>
        <w:t xml:space="preserve"> Light rain acceptable; suspend for moderate or heavy rain.</w:t>
      </w:r>
    </w:p>
    <w:p>
      <w:pPr>
        <w:spacing w:after="120" w:before="60" w:line="320"/>
        <w:jc w:val="both"/>
      </w:pPr>
      <w:r>
        <w:rPr>
          <w:rFonts w:ascii="Arial" w:cs="Arial" w:eastAsia="Arial" w:hAnsi="Arial"/>
          <w:color w:val="1F1E1E"/>
          <w:sz w:val="22"/>
          <w:szCs w:val="22"/>
        </w:rPr>
        <w:t xml:space="preserve">(d) </w:t>
      </w:r>
      <w:r>
        <w:rPr>
          <w:rFonts w:ascii="Arial" w:cs="Arial" w:eastAsia="Arial" w:hAnsi="Arial"/>
          <w:b/>
          <w:bCs/>
          <w:color w:val="1F1E1E"/>
          <w:sz w:val="22"/>
          <w:szCs w:val="22"/>
        </w:rPr>
        <w:t xml:space="preserve">Lightning.</w:t>
      </w:r>
      <w:r>
        <w:rPr>
          <w:rFonts w:ascii="Arial" w:cs="Arial" w:eastAsia="Arial" w:hAnsi="Arial"/>
          <w:color w:val="1F1E1E"/>
          <w:sz w:val="22"/>
          <w:szCs w:val="22"/>
        </w:rPr>
        <w:t xml:space="preserve"> At the first sound of thunder or visible lightning within an estimated 6 miles, all volunteers shall move to a substantial building or hard-topped vehicle; activities shall not resume until at least 30 minutes have elapsed after the last thunder or lightning, consistent with the NWS "30-30 Rule."</w:t>
      </w:r>
    </w:p>
    <w:p>
      <w:pPr>
        <w:spacing w:after="120" w:before="60" w:line="320"/>
        <w:jc w:val="both"/>
      </w:pPr>
      <w:r>
        <w:rPr>
          <w:rFonts w:ascii="Arial" w:cs="Arial" w:eastAsia="Arial" w:hAnsi="Arial"/>
          <w:color w:val="1F1E1E"/>
          <w:sz w:val="22"/>
          <w:szCs w:val="22"/>
        </w:rPr>
        <w:t xml:space="preserve">(e) </w:t>
      </w:r>
      <w:r>
        <w:rPr>
          <w:rFonts w:ascii="Arial" w:cs="Arial" w:eastAsia="Arial" w:hAnsi="Arial"/>
          <w:b/>
          <w:bCs/>
          <w:color w:val="1F1E1E"/>
          <w:sz w:val="22"/>
          <w:szCs w:val="22"/>
        </w:rPr>
        <w:t xml:space="preserve">Air Quality.</w:t>
      </w:r>
      <w:r>
        <w:rPr>
          <w:rFonts w:ascii="Arial" w:cs="Arial" w:eastAsia="Arial" w:hAnsi="Arial"/>
          <w:color w:val="1F1E1E"/>
          <w:sz w:val="22"/>
          <w:szCs w:val="22"/>
        </w:rPr>
        <w:t xml:space="preserve"> Modify or cancel when the AQI for the event location reaches 151 (Unhealthy) or higher in the EPA's AirNow forecast.</w:t>
      </w:r>
    </w:p>
    <w:p>
      <w:pPr>
        <w:keepNext/>
        <w:spacing w:after="120" w:before="240"/>
      </w:pPr>
      <w:r>
        <w:rPr>
          <w:rFonts w:ascii="Arial" w:cs="Arial" w:eastAsia="Arial" w:hAnsi="Arial"/>
          <w:b/>
          <w:bCs/>
          <w:color w:val="3B5937"/>
          <w:sz w:val="22"/>
          <w:szCs w:val="22"/>
        </w:rPr>
        <w:t xml:space="preserve">2.2 Site Setup</w:t>
      </w:r>
    </w:p>
    <w:p>
      <w:pPr>
        <w:pStyle w:val="ListParagraph"/>
        <w:numPr>
          <w:ilvl w:val="0"/>
          <w:numId w:val="2"/>
        </w:numPr>
        <w:spacing w:after="40" w:before="40" w:line="300"/>
      </w:pPr>
      <w:r>
        <w:rPr>
          <w:rFonts w:ascii="Arial" w:cs="Arial" w:eastAsia="Arial" w:hAnsi="Arial"/>
          <w:color w:val="1F1E1E"/>
          <w:sz w:val="22"/>
          <w:szCs w:val="22"/>
        </w:rPr>
        <w:t xml:space="preserve">☐ Mark and rope-off hazards identified in Phase 1</w:t>
      </w:r>
    </w:p>
    <w:p>
      <w:pPr>
        <w:pStyle w:val="ListParagraph"/>
        <w:numPr>
          <w:ilvl w:val="0"/>
          <w:numId w:val="2"/>
        </w:numPr>
        <w:spacing w:after="40" w:before="40" w:line="300"/>
      </w:pPr>
      <w:r>
        <w:rPr>
          <w:rFonts w:ascii="Arial" w:cs="Arial" w:eastAsia="Arial" w:hAnsi="Arial"/>
          <w:color w:val="1F1E1E"/>
          <w:sz w:val="22"/>
          <w:szCs w:val="22"/>
        </w:rPr>
        <w:t xml:space="preserve">☐ Place first-aid kit, water, shade structures</w:t>
      </w:r>
    </w:p>
    <w:p>
      <w:pPr>
        <w:pStyle w:val="ListParagraph"/>
        <w:numPr>
          <w:ilvl w:val="0"/>
          <w:numId w:val="2"/>
        </w:numPr>
        <w:spacing w:after="40" w:before="40" w:line="300"/>
      </w:pPr>
      <w:r>
        <w:rPr>
          <w:rFonts w:ascii="Arial" w:cs="Arial" w:eastAsia="Arial" w:hAnsi="Arial"/>
          <w:color w:val="1F1E1E"/>
          <w:sz w:val="22"/>
          <w:szCs w:val="22"/>
        </w:rPr>
        <w:t xml:space="preserve">☐ Brief co-facilitators on day's plan and emergency procedures</w:t>
      </w:r>
    </w:p>
    <w:p>
      <w:pPr>
        <w:keepNext/>
        <w:spacing w:after="120" w:before="240"/>
      </w:pPr>
      <w:r>
        <w:rPr>
          <w:rFonts w:ascii="Arial" w:cs="Arial" w:eastAsia="Arial" w:hAnsi="Arial"/>
          <w:b/>
          <w:bCs/>
          <w:color w:val="3B5937"/>
          <w:sz w:val="22"/>
          <w:szCs w:val="22"/>
        </w:rPr>
        <w:t xml:space="preserve">2.3 Safety Briefing (MANDATORY)</w:t>
      </w:r>
    </w:p>
    <w:p>
      <w:pPr>
        <w:spacing w:after="120" w:before="60" w:line="320"/>
        <w:jc w:val="both"/>
      </w:pPr>
      <w:r>
        <w:rPr>
          <w:rFonts w:ascii="Arial" w:cs="Arial" w:eastAsia="Arial" w:hAnsi="Arial"/>
          <w:color w:val="1F1E1E"/>
          <w:sz w:val="22"/>
          <w:szCs w:val="22"/>
        </w:rPr>
        <w:t xml:space="preserve">This 10-minute briefing MUST be conducted before any work begins. All volunteers must attend. </w:t>
      </w:r>
      <w:r>
        <w:rPr>
          <w:rFonts w:ascii="Arial" w:cs="Arial" w:eastAsia="Arial" w:hAnsi="Arial"/>
          <w:i/>
          <w:iCs/>
          <w:color w:val="1F1E1E"/>
          <w:sz w:val="22"/>
          <w:szCs w:val="22"/>
        </w:rPr>
        <w:t xml:space="preserve">Ref: Habitat for Humanity safety model, Policy No. 20, Policy No. 32.</w:t>
      </w:r>
    </w:p>
    <w:p>
      <w:pPr>
        <w:keepNext/>
        <w:spacing w:after="160" w:before="360"/>
      </w:pPr>
      <w:r>
        <w:rPr>
          <w:rFonts w:ascii="Arial" w:cs="Arial" w:eastAsia="Arial" w:hAnsi="Arial"/>
          <w:b/>
          <w:bCs/>
          <w:color w:val="561217"/>
          <w:sz w:val="26"/>
          <w:szCs w:val="26"/>
        </w:rPr>
        <w:t xml:space="preserve">Phase 3: During the Event</w:t>
      </w:r>
    </w:p>
    <w:p>
      <w:pPr>
        <w:keepNext/>
        <w:spacing w:after="120" w:before="240"/>
      </w:pPr>
      <w:r>
        <w:rPr>
          <w:rFonts w:ascii="Arial" w:cs="Arial" w:eastAsia="Arial" w:hAnsi="Arial"/>
          <w:b/>
          <w:bCs/>
          <w:color w:val="3B5937"/>
          <w:sz w:val="22"/>
          <w:szCs w:val="22"/>
        </w:rPr>
        <w:t xml:space="preserve">3.1 Ongoing Safety Monitoring</w:t>
      </w:r>
    </w:p>
    <w:p>
      <w:pPr>
        <w:pStyle w:val="ListParagraph"/>
        <w:numPr>
          <w:ilvl w:val="0"/>
          <w:numId w:val="2"/>
        </w:numPr>
        <w:spacing w:after="40" w:before="40" w:line="300"/>
      </w:pPr>
      <w:r>
        <w:rPr>
          <w:rFonts w:ascii="Arial" w:cs="Arial" w:eastAsia="Arial" w:hAnsi="Arial"/>
          <w:color w:val="1F1E1E"/>
          <w:sz w:val="22"/>
          <w:szCs w:val="22"/>
        </w:rPr>
        <w:t xml:space="preserve">☐ Monitor heat-illness signs every 30 minutes; enforce hydration breaks</w:t>
      </w:r>
    </w:p>
    <w:p>
      <w:pPr>
        <w:pStyle w:val="ListParagraph"/>
        <w:numPr>
          <w:ilvl w:val="0"/>
          <w:numId w:val="2"/>
        </w:numPr>
        <w:spacing w:after="40" w:before="40" w:line="300"/>
      </w:pPr>
      <w:r>
        <w:rPr>
          <w:rFonts w:ascii="Arial" w:cs="Arial" w:eastAsia="Arial" w:hAnsi="Arial"/>
          <w:color w:val="1F1E1E"/>
          <w:sz w:val="22"/>
          <w:szCs w:val="22"/>
        </w:rPr>
        <w:t xml:space="preserve">☐ Re-inspect work areas after each major task</w:t>
      </w:r>
    </w:p>
    <w:p>
      <w:pPr>
        <w:pStyle w:val="ListParagraph"/>
        <w:numPr>
          <w:ilvl w:val="0"/>
          <w:numId w:val="2"/>
        </w:numPr>
        <w:spacing w:after="40" w:before="40" w:line="300"/>
      </w:pPr>
      <w:r>
        <w:rPr>
          <w:rFonts w:ascii="Arial" w:cs="Arial" w:eastAsia="Arial" w:hAnsi="Arial"/>
          <w:color w:val="1F1E1E"/>
          <w:sz w:val="22"/>
          <w:szCs w:val="22"/>
        </w:rPr>
        <w:t xml:space="preserve">☐ Track any incidents in real-time for Policy No. 33 reporting</w:t>
      </w:r>
    </w:p>
    <w:p>
      <w:pPr>
        <w:keepNext/>
        <w:spacing w:after="120" w:before="240"/>
      </w:pPr>
      <w:r>
        <w:rPr>
          <w:rFonts w:ascii="Arial" w:cs="Arial" w:eastAsia="Arial" w:hAnsi="Arial"/>
          <w:b/>
          <w:bCs/>
          <w:color w:val="3B5937"/>
          <w:sz w:val="22"/>
          <w:szCs w:val="22"/>
        </w:rPr>
        <w:t xml:space="preserve">3.2 Environmental Monitoring</w:t>
      </w:r>
    </w:p>
    <w:p>
      <w:pPr>
        <w:pStyle w:val="ListParagraph"/>
        <w:numPr>
          <w:ilvl w:val="0"/>
          <w:numId w:val="2"/>
        </w:numPr>
        <w:spacing w:after="40" w:before="40" w:line="300"/>
      </w:pPr>
      <w:r>
        <w:rPr>
          <w:rFonts w:ascii="Arial" w:cs="Arial" w:eastAsia="Arial" w:hAnsi="Arial"/>
          <w:color w:val="1F1E1E"/>
          <w:sz w:val="22"/>
          <w:szCs w:val="22"/>
        </w:rPr>
        <w:t xml:space="preserve">☐ Watch for pesticide-drift events</w:t>
      </w:r>
    </w:p>
    <w:p>
      <w:pPr>
        <w:pStyle w:val="ListParagraph"/>
        <w:numPr>
          <w:ilvl w:val="0"/>
          <w:numId w:val="2"/>
        </w:numPr>
        <w:spacing w:after="40" w:before="40" w:line="300"/>
      </w:pPr>
      <w:r>
        <w:rPr>
          <w:rFonts w:ascii="Arial" w:cs="Arial" w:eastAsia="Arial" w:hAnsi="Arial"/>
          <w:color w:val="1F1E1E"/>
          <w:sz w:val="22"/>
          <w:szCs w:val="22"/>
        </w:rPr>
        <w:t xml:space="preserve">☐ Monitor wildlife activity that could pose risk</w:t>
      </w:r>
    </w:p>
    <w:p>
      <w:pPr>
        <w:keepNext/>
        <w:spacing w:after="120" w:before="240"/>
      </w:pPr>
      <w:r>
        <w:rPr>
          <w:rFonts w:ascii="Arial" w:cs="Arial" w:eastAsia="Arial" w:hAnsi="Arial"/>
          <w:b/>
          <w:bCs/>
          <w:color w:val="3B5937"/>
          <w:sz w:val="22"/>
          <w:szCs w:val="22"/>
        </w:rPr>
        <w:t xml:space="preserve">3.3 Human Rights &amp; Conduct</w:t>
      </w:r>
    </w:p>
    <w:p>
      <w:pPr>
        <w:pStyle w:val="ListParagraph"/>
        <w:numPr>
          <w:ilvl w:val="0"/>
          <w:numId w:val="2"/>
        </w:numPr>
        <w:spacing w:after="40" w:before="40" w:line="300"/>
      </w:pPr>
      <w:r>
        <w:rPr>
          <w:rFonts w:ascii="Arial" w:cs="Arial" w:eastAsia="Arial" w:hAnsi="Arial"/>
          <w:color w:val="1F1E1E"/>
          <w:sz w:val="22"/>
          <w:szCs w:val="22"/>
        </w:rPr>
        <w:t xml:space="preserve">☐ Enforce Code of Conduct per Policy No. 10</w:t>
      </w:r>
    </w:p>
    <w:p>
      <w:pPr>
        <w:pStyle w:val="ListParagraph"/>
        <w:numPr>
          <w:ilvl w:val="0"/>
          <w:numId w:val="2"/>
        </w:numPr>
        <w:spacing w:after="40" w:before="40" w:line="300"/>
      </w:pPr>
      <w:r>
        <w:rPr>
          <w:rFonts w:ascii="Arial" w:cs="Arial" w:eastAsia="Arial" w:hAnsi="Arial"/>
          <w:color w:val="1F1E1E"/>
          <w:sz w:val="22"/>
          <w:szCs w:val="22"/>
        </w:rPr>
        <w:t xml:space="preserve">☐ Address any harassment or discrimination concerns under Policy No. 10 § Sexual Harassment Prohibition</w:t>
      </w:r>
    </w:p>
    <w:p>
      <w:pPr>
        <w:keepNext/>
        <w:spacing w:after="120" w:before="240"/>
      </w:pPr>
      <w:r>
        <w:rPr>
          <w:rFonts w:ascii="Arial" w:cs="Arial" w:eastAsia="Arial" w:hAnsi="Arial"/>
          <w:b/>
          <w:bCs/>
          <w:color w:val="3B5937"/>
          <w:sz w:val="22"/>
          <w:szCs w:val="22"/>
        </w:rPr>
        <w:t xml:space="preserve">3.4 Incident Response</w:t>
      </w:r>
    </w:p>
    <w:p>
      <w:pPr>
        <w:spacing w:after="120" w:before="60" w:line="320"/>
        <w:jc w:val="both"/>
      </w:pPr>
      <w:r>
        <w:rPr>
          <w:rFonts w:ascii="Arial" w:cs="Arial" w:eastAsia="Arial" w:hAnsi="Arial"/>
          <w:i/>
          <w:iCs/>
          <w:color w:val="1F1E1E"/>
          <w:sz w:val="22"/>
          <w:szCs w:val="22"/>
        </w:rPr>
        <w:t xml:space="preserve">Ref: Policy No. 33 (Incident Reporting)</w:t>
      </w:r>
    </w:p>
    <w:p>
      <w:pPr>
        <w:pStyle w:val="ListParagraph"/>
        <w:numPr>
          <w:ilvl w:val="0"/>
          <w:numId w:val="2"/>
        </w:numPr>
        <w:spacing w:after="40" w:before="40" w:line="300"/>
      </w:pPr>
      <w:r>
        <w:rPr>
          <w:rFonts w:ascii="Arial" w:cs="Arial" w:eastAsia="Arial" w:hAnsi="Arial"/>
          <w:color w:val="1F1E1E"/>
          <w:sz w:val="22"/>
          <w:szCs w:val="22"/>
        </w:rPr>
        <w:t xml:space="preserve">☐ Activate first-aid response within 60 seconds for any injury</w:t>
      </w:r>
    </w:p>
    <w:p>
      <w:pPr>
        <w:pStyle w:val="ListParagraph"/>
        <w:numPr>
          <w:ilvl w:val="0"/>
          <w:numId w:val="2"/>
        </w:numPr>
        <w:spacing w:after="40" w:before="40" w:line="300"/>
      </w:pPr>
      <w:r>
        <w:rPr>
          <w:rFonts w:ascii="Arial" w:cs="Arial" w:eastAsia="Arial" w:hAnsi="Arial"/>
          <w:color w:val="1F1E1E"/>
          <w:sz w:val="22"/>
          <w:szCs w:val="22"/>
        </w:rPr>
        <w:t xml:space="preserve">☐ Document incident in real-time</w:t>
      </w:r>
    </w:p>
    <w:p>
      <w:pPr>
        <w:pStyle w:val="ListParagraph"/>
        <w:numPr>
          <w:ilvl w:val="0"/>
          <w:numId w:val="2"/>
        </w:numPr>
        <w:spacing w:after="40" w:before="40" w:line="300"/>
      </w:pPr>
      <w:r>
        <w:rPr>
          <w:rFonts w:ascii="Arial" w:cs="Arial" w:eastAsia="Arial" w:hAnsi="Arial"/>
          <w:color w:val="1F1E1E"/>
          <w:sz w:val="22"/>
          <w:szCs w:val="22"/>
        </w:rPr>
        <w:t xml:space="preserve">☐ Mandatory external reporting per Policy No. 33 if applicable (e.g., suspected child abuse to TX DFPS within 48 hours)</w:t>
      </w:r>
    </w:p>
    <w:p>
      <w:pPr>
        <w:keepNext/>
        <w:spacing w:after="160" w:before="360"/>
      </w:pPr>
      <w:r>
        <w:rPr>
          <w:rFonts w:ascii="Arial" w:cs="Arial" w:eastAsia="Arial" w:hAnsi="Arial"/>
          <w:b/>
          <w:bCs/>
          <w:color w:val="561217"/>
          <w:sz w:val="26"/>
          <w:szCs w:val="26"/>
        </w:rPr>
        <w:t xml:space="preserve">Phase 4: Post-Event Close-Out</w:t>
      </w:r>
    </w:p>
    <w:p>
      <w:pPr>
        <w:keepNext/>
        <w:spacing w:after="120" w:before="240"/>
      </w:pPr>
      <w:r>
        <w:rPr>
          <w:rFonts w:ascii="Arial" w:cs="Arial" w:eastAsia="Arial" w:hAnsi="Arial"/>
          <w:b/>
          <w:bCs/>
          <w:color w:val="3B5937"/>
          <w:sz w:val="22"/>
          <w:szCs w:val="22"/>
        </w:rPr>
        <w:t xml:space="preserve">4.1 Immediate Close-Out (Within 1 Hour)</w:t>
      </w:r>
    </w:p>
    <w:p>
      <w:pPr>
        <w:pStyle w:val="ListParagraph"/>
        <w:numPr>
          <w:ilvl w:val="0"/>
          <w:numId w:val="2"/>
        </w:numPr>
        <w:spacing w:after="40" w:before="40" w:line="300"/>
      </w:pPr>
      <w:r>
        <w:rPr>
          <w:rFonts w:ascii="Arial" w:cs="Arial" w:eastAsia="Arial" w:hAnsi="Arial"/>
          <w:color w:val="1F1E1E"/>
          <w:sz w:val="22"/>
          <w:szCs w:val="22"/>
        </w:rPr>
        <w:t xml:space="preserve">☐ Account for all volunteers; confirm safe departure</w:t>
      </w:r>
    </w:p>
    <w:p>
      <w:pPr>
        <w:pStyle w:val="ListParagraph"/>
        <w:numPr>
          <w:ilvl w:val="0"/>
          <w:numId w:val="2"/>
        </w:numPr>
        <w:spacing w:after="40" w:before="40" w:line="300"/>
      </w:pPr>
      <w:r>
        <w:rPr>
          <w:rFonts w:ascii="Arial" w:cs="Arial" w:eastAsia="Arial" w:hAnsi="Arial"/>
          <w:color w:val="1F1E1E"/>
          <w:sz w:val="22"/>
          <w:szCs w:val="22"/>
        </w:rPr>
        <w:t xml:space="preserve">☐ Secure tools, equipment, leftover supplies</w:t>
      </w:r>
    </w:p>
    <w:p>
      <w:pPr>
        <w:pStyle w:val="ListParagraph"/>
        <w:numPr>
          <w:ilvl w:val="0"/>
          <w:numId w:val="2"/>
        </w:numPr>
        <w:spacing w:after="40" w:before="40" w:line="300"/>
      </w:pPr>
      <w:r>
        <w:rPr>
          <w:rFonts w:ascii="Arial" w:cs="Arial" w:eastAsia="Arial" w:hAnsi="Arial"/>
          <w:color w:val="1F1E1E"/>
          <w:sz w:val="22"/>
          <w:szCs w:val="22"/>
        </w:rPr>
        <w:t xml:space="preserve">☐ Document any incidents not yet logged</w:t>
      </w:r>
    </w:p>
    <w:p>
      <w:pPr>
        <w:keepNext/>
        <w:spacing w:after="120" w:before="240"/>
      </w:pPr>
      <w:r>
        <w:rPr>
          <w:rFonts w:ascii="Arial" w:cs="Arial" w:eastAsia="Arial" w:hAnsi="Arial"/>
          <w:b/>
          <w:bCs/>
          <w:color w:val="3B5937"/>
          <w:sz w:val="22"/>
          <w:szCs w:val="22"/>
        </w:rPr>
        <w:t xml:space="preserve">4.2 Administrative Follow-Up (Within 48 Hours)</w:t>
      </w:r>
    </w:p>
    <w:p>
      <w:pPr>
        <w:pStyle w:val="ListParagraph"/>
        <w:numPr>
          <w:ilvl w:val="0"/>
          <w:numId w:val="2"/>
        </w:numPr>
        <w:spacing w:after="40" w:before="40" w:line="300"/>
      </w:pPr>
      <w:r>
        <w:rPr>
          <w:rFonts w:ascii="Arial" w:cs="Arial" w:eastAsia="Arial" w:hAnsi="Arial"/>
          <w:color w:val="1F1E1E"/>
          <w:sz w:val="22"/>
          <w:szCs w:val="22"/>
        </w:rPr>
        <w:t xml:space="preserve">☐ Submit event-completion report to Foundation Portal</w:t>
      </w:r>
    </w:p>
    <w:p>
      <w:pPr>
        <w:pStyle w:val="ListParagraph"/>
        <w:numPr>
          <w:ilvl w:val="0"/>
          <w:numId w:val="2"/>
        </w:numPr>
        <w:spacing w:after="40" w:before="40" w:line="300"/>
      </w:pPr>
      <w:r>
        <w:rPr>
          <w:rFonts w:ascii="Arial" w:cs="Arial" w:eastAsia="Arial" w:hAnsi="Arial"/>
          <w:color w:val="1F1E1E"/>
          <w:sz w:val="22"/>
          <w:szCs w:val="22"/>
        </w:rPr>
        <w:t xml:space="preserve">☐ File Policy No. 33 incident reports (if any)</w:t>
      </w:r>
    </w:p>
    <w:p>
      <w:pPr>
        <w:pStyle w:val="ListParagraph"/>
        <w:numPr>
          <w:ilvl w:val="0"/>
          <w:numId w:val="2"/>
        </w:numPr>
        <w:spacing w:after="40" w:before="40" w:line="300"/>
      </w:pPr>
      <w:r>
        <w:rPr>
          <w:rFonts w:ascii="Arial" w:cs="Arial" w:eastAsia="Arial" w:hAnsi="Arial"/>
          <w:color w:val="1F1E1E"/>
          <w:sz w:val="22"/>
          <w:szCs w:val="22"/>
        </w:rPr>
        <w:t xml:space="preserve">☐ Send thank-you communications to volunteers</w:t>
      </w:r>
    </w:p>
    <w:p>
      <w:pPr>
        <w:keepNext/>
        <w:spacing w:after="120" w:before="240"/>
      </w:pPr>
      <w:r>
        <w:rPr>
          <w:rFonts w:ascii="Arial" w:cs="Arial" w:eastAsia="Arial" w:hAnsi="Arial"/>
          <w:b/>
          <w:bCs/>
          <w:color w:val="3B5937"/>
          <w:sz w:val="22"/>
          <w:szCs w:val="22"/>
        </w:rPr>
        <w:t xml:space="preserve">4.3 Post-Event Self-Assessment</w:t>
      </w:r>
    </w:p>
    <w:p>
      <w:pPr>
        <w:pStyle w:val="ListParagraph"/>
        <w:numPr>
          <w:ilvl w:val="0"/>
          <w:numId w:val="2"/>
        </w:numPr>
        <w:spacing w:after="40" w:before="40" w:line="300"/>
      </w:pPr>
      <w:r>
        <w:rPr>
          <w:rFonts w:ascii="Arial" w:cs="Arial" w:eastAsia="Arial" w:hAnsi="Arial"/>
          <w:color w:val="1F1E1E"/>
          <w:sz w:val="22"/>
          <w:szCs w:val="22"/>
        </w:rPr>
        <w:t xml:space="preserve">☐ Note what worked and what didn't</w:t>
      </w:r>
    </w:p>
    <w:p>
      <w:pPr>
        <w:pStyle w:val="ListParagraph"/>
        <w:numPr>
          <w:ilvl w:val="0"/>
          <w:numId w:val="2"/>
        </w:numPr>
        <w:spacing w:after="40" w:before="40" w:line="300"/>
      </w:pPr>
      <w:r>
        <w:rPr>
          <w:rFonts w:ascii="Arial" w:cs="Arial" w:eastAsia="Arial" w:hAnsi="Arial"/>
          <w:color w:val="1F1E1E"/>
          <w:sz w:val="22"/>
          <w:szCs w:val="22"/>
        </w:rPr>
        <w:t xml:space="preserve">☐ Suggest improvements for future events</w:t>
      </w:r>
    </w:p>
    <w:p>
      <w:pPr>
        <w:pStyle w:val="ListParagraph"/>
        <w:numPr>
          <w:ilvl w:val="0"/>
          <w:numId w:val="2"/>
        </w:numPr>
        <w:spacing w:after="40" w:before="40" w:line="300"/>
      </w:pPr>
      <w:r>
        <w:rPr>
          <w:rFonts w:ascii="Arial" w:cs="Arial" w:eastAsia="Arial" w:hAnsi="Arial"/>
          <w:color w:val="1F1E1E"/>
          <w:sz w:val="22"/>
          <w:szCs w:val="22"/>
        </w:rPr>
        <w:t xml:space="preserve">☐ Document accommodation requests and resolutions</w:t>
      </w:r>
    </w:p>
    <w:p>
      <w:pPr>
        <w:keepNext/>
        <w:spacing w:after="160" w:before="360"/>
      </w:pPr>
      <w:r>
        <w:rPr>
          <w:rFonts w:ascii="Arial" w:cs="Arial" w:eastAsia="Arial" w:hAnsi="Arial"/>
          <w:b/>
          <w:bCs/>
          <w:color w:val="561217"/>
          <w:sz w:val="26"/>
          <w:szCs w:val="26"/>
        </w:rPr>
        <w:t xml:space="preserve">Independent Steward / Non-Agency</w:t>
      </w:r>
    </w:p>
    <w:p>
      <w:pPr>
        <w:spacing w:after="120" w:before="60" w:line="320"/>
        <w:jc w:val="both"/>
      </w:pPr>
      <w:r>
        <w:rPr>
          <w:rFonts w:ascii="Arial" w:cs="Arial" w:eastAsia="Arial" w:hAnsi="Arial"/>
          <w:color w:val="1F1E1E"/>
          <w:sz w:val="22"/>
          <w:szCs w:val="22"/>
        </w:rPr>
        <w:t xml:space="preserve">The Garden Steward hosting an event is an independent volunteer of the Foundation; they are not an employee, agent, or representative of the Foundation for purposes of operating the event. The Foundation:</w:t>
      </w:r>
    </w:p>
    <w:p>
      <w:pPr>
        <w:spacing w:after="120" w:before="60" w:line="320"/>
        <w:jc w:val="both"/>
      </w:pPr>
      <w:r>
        <w:rPr>
          <w:rFonts w:ascii="Arial" w:cs="Arial" w:eastAsia="Arial" w:hAnsi="Arial"/>
          <w:color w:val="1F1E1E"/>
          <w:sz w:val="22"/>
          <w:szCs w:val="22"/>
        </w:rPr>
        <w:t xml:space="preserve">(a) provides the listing and registration platform; (b) makes this Compliance Checklist and supporting policies available; (c) does not direct or control the moment-to-moment operations of the event; (d) is not a co-host or co-organizer; (e) does not insure or indemnify Stewards beyond the general liability coverage referenced in Policy No. 20.</w:t>
      </w:r>
    </w:p>
    <w:p>
      <w:pPr>
        <w:spacing w:after="120" w:before="60" w:line="320"/>
        <w:jc w:val="both"/>
      </w:pPr>
      <w:r>
        <w:rPr>
          <w:rFonts w:ascii="Arial" w:cs="Arial" w:eastAsia="Arial" w:hAnsi="Arial"/>
          <w:color w:val="1F1E1E"/>
          <w:sz w:val="22"/>
          <w:szCs w:val="22"/>
        </w:rPr>
        <w:t xml:space="preserve">Participants in events organized through the platform contract with the host Steward and assume risks as set forth in the Adult Participant Waiver or Parent/Guardian Waiver.</w:t>
      </w:r>
    </w:p>
    <w:p>
      <w:pPr>
        <w:keepNext/>
        <w:spacing w:after="160" w:before="360"/>
      </w:pPr>
      <w:r>
        <w:rPr>
          <w:rFonts w:ascii="Arial" w:cs="Arial" w:eastAsia="Arial" w:hAnsi="Arial"/>
          <w:b/>
          <w:bCs/>
          <w:color w:val="561217"/>
          <w:sz w:val="26"/>
          <w:szCs w:val="26"/>
        </w:rPr>
        <w:t xml:space="preserve">Steward Attestation</w:t>
      </w:r>
    </w:p>
    <w:p>
      <w:pPr>
        <w:spacing w:after="120" w:before="60" w:line="320"/>
        <w:jc w:val="both"/>
      </w:pPr>
      <w:r>
        <w:rPr>
          <w:rFonts w:ascii="Arial" w:cs="Arial" w:eastAsia="Arial" w:hAnsi="Arial"/>
          <w:color w:val="1F1E1E"/>
          <w:sz w:val="22"/>
          <w:szCs w:val="22"/>
        </w:rPr>
        <w:t xml:space="preserve">I, the undersigned Garden Steward, attest that I have completed this Volunteer Field Operations Compliance Checklist for the event described on page 2. I confirm that all applicable items have been addressed and that I have conducted this event in accordance with Holon Foundation policies, the Steward Host Agreement, and applicable laws.</w:t>
      </w:r>
    </w:p>
    <w:p>
      <w:pPr>
        <w:spacing w:after="120" w:before="60" w:line="320"/>
        <w:jc w:val="both"/>
      </w:pPr>
      <w:r>
        <w:rPr>
          <w:rFonts w:ascii="Arial" w:cs="Arial" w:eastAsia="Arial" w:hAnsi="Arial"/>
          <w:color w:val="1F1E1E"/>
          <w:sz w:val="22"/>
          <w:szCs w:val="22"/>
        </w:rPr>
        <w:t xml:space="preserve">This checklist is required for all volunteer events organized through the Holon Gardens platform. It must be completed before, during, and after each event. A digital version is available in the Portal under each volunteer event.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Steward Name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25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25  ·  VOLUNTEER FIELD OPERATIONS COMPLIANCE CHECKLIST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Field Operations Compliance Checklist</dc:title>
  <dc:creator>Holon Foundation</dc:creator>
  <dc:description>Holon Foundation — Policy No. 25</dc:description>
  <cp:lastModifiedBy>Un-named</cp:lastModifiedBy>
  <cp:revision>1</cp:revision>
  <dcterms:created xsi:type="dcterms:W3CDTF">2026-05-21T02:41:42.969Z</dcterms:created>
  <dcterms:modified xsi:type="dcterms:W3CDTF">2026-05-21T02:41:42.969Z</dcterms:modified>
</cp:coreProperties>
</file>

<file path=docProps/custom.xml><?xml version="1.0" encoding="utf-8"?>
<Properties xmlns="http://schemas.openxmlformats.org/officeDocument/2006/custom-properties" xmlns:vt="http://schemas.openxmlformats.org/officeDocument/2006/docPropsVTypes"/>
</file>