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24</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Metrics &amp; Calculations Transparency Report</w:t>
      </w:r>
    </w:p>
    <w:p>
      <w:pPr>
        <w:spacing w:after="0" w:before="0"/>
        <w:jc w:val="center"/>
      </w:pPr>
      <w:r>
        <w:rPr>
          <w:rFonts w:ascii="Arial" w:cs="Arial" w:eastAsia="Arial" w:hAnsi="Arial"/>
          <w:i/>
          <w:iCs/>
          <w:color w:val="4A4A4A"/>
          <w:sz w:val="20"/>
          <w:szCs w:val="20"/>
        </w:rPr>
        <w:t xml:space="preserve">Holon Foundation — Policy No. 24</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Prepared by Holon Foundation, a 501(c)(3) nonprofit organization. Adopted by the Board of Directors of Holon Foundation by Resolution No. [INSERT] on [INSERT DATE]. Published voluntarily as part of Holon Foundation's commitment to radical transparency in ecological impact measurement.</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explicit FTC Green Guides substantiation standard (16 C.F.R. Part 260) anchoring the Foundation's "competent and reliable scientific evidence" commitment.</w:t>
      </w:r>
    </w:p>
    <w:p>
      <w:pPr>
        <w:pStyle w:val="ListParagraph"/>
        <w:numPr>
          <w:ilvl w:val="0"/>
          <w:numId w:val="2"/>
        </w:numPr>
        <w:spacing w:after="40" w:before="40" w:line="300"/>
      </w:pPr>
      <w:r>
        <w:rPr>
          <w:rFonts w:ascii="Arial" w:cs="Arial" w:eastAsia="Arial" w:hAnsi="Arial"/>
          <w:color w:val="1F1E1E"/>
          <w:sz w:val="22"/>
          <w:szCs w:val="22"/>
        </w:rPr>
        <w:t xml:space="preserve">Carved gross-negligence and non-waivable DTPA claims out of the Limitation of Liability and added Governing Law / Venue (Harris County, Texas).</w:t>
      </w:r>
    </w:p>
    <w:p>
      <w:pPr>
        <w:pStyle w:val="ListParagraph"/>
        <w:numPr>
          <w:ilvl w:val="0"/>
          <w:numId w:val="2"/>
        </w:numPr>
        <w:spacing w:after="40" w:before="40" w:line="300"/>
      </w:pPr>
      <w:r>
        <w:rPr>
          <w:rFonts w:ascii="Arial" w:cs="Arial" w:eastAsia="Arial" w:hAnsi="Arial"/>
          <w:color w:val="1F1E1E"/>
          <w:sz w:val="22"/>
          <w:szCs w:val="22"/>
        </w:rPr>
        <w:t xml:space="preserve">Added semantic Versioning and Archival commitment, harmonized with Holon Foundation Policy No. 06 and Policy No. 18.</w:t>
      </w:r>
    </w:p>
    <w:p>
      <w:pPr>
        <w:pStyle w:val="ListParagraph"/>
        <w:numPr>
          <w:ilvl w:val="0"/>
          <w:numId w:val="2"/>
        </w:numPr>
        <w:spacing w:after="40" w:before="40" w:line="300"/>
      </w:pPr>
      <w:r>
        <w:rPr>
          <w:rFonts w:ascii="Arial" w:cs="Arial" w:eastAsia="Arial" w:hAnsi="Arial"/>
          <w:color w:val="1F1E1E"/>
          <w:sz w:val="22"/>
          <w:szCs w:val="22"/>
        </w:rPr>
        <w:t xml:space="preserve">Strengthened § 2.6 with explicit non-agency disclaimer addressing donor reliance.</w:t>
      </w:r>
    </w:p>
    <w:p>
      <w:pPr>
        <w:pStyle w:val="ListParagraph"/>
        <w:numPr>
          <w:ilvl w:val="0"/>
          <w:numId w:val="2"/>
        </w:numPr>
        <w:spacing w:after="40" w:before="40" w:line="300"/>
      </w:pPr>
      <w:r>
        <w:rPr>
          <w:rFonts w:ascii="Arial" w:cs="Arial" w:eastAsia="Arial" w:hAnsi="Arial"/>
          <w:color w:val="1F1E1E"/>
          <w:sz w:val="22"/>
          <w:szCs w:val="22"/>
        </w:rPr>
        <w:t xml:space="preserve">Added Contributor License section addressing IP rights for community-contributed methodology improvements.</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1. Purpose &amp; Philosophy</w:t>
      </w:r>
    </w:p>
    <w:p>
      <w:pPr>
        <w:spacing w:after="120" w:before="60" w:line="320"/>
        <w:jc w:val="both"/>
      </w:pPr>
      <w:r>
        <w:rPr>
          <w:rFonts w:ascii="Arial" w:cs="Arial" w:eastAsia="Arial" w:hAnsi="Arial"/>
          <w:color w:val="1F1E1E"/>
          <w:sz w:val="22"/>
          <w:szCs w:val="22"/>
        </w:rPr>
        <w:t xml:space="preserve">Holon Foundation believes that every number shown to our stewards and the public should be traceable, explainable, and open to challenge. This document discloses the complete set of metric calculations used across the Holon Gardens platform, including the formulas, data sources, assumptions, and limitations behind every indicator displayed on garden dashboards, ecological assessments, and public impact summaries.</w:t>
      </w:r>
    </w:p>
    <w:p>
      <w:pPr>
        <w:spacing w:after="120" w:before="60" w:line="320"/>
        <w:jc w:val="both"/>
      </w:pPr>
      <w:r>
        <w:rPr>
          <w:rFonts w:ascii="Arial" w:cs="Arial" w:eastAsia="Arial" w:hAnsi="Arial"/>
          <w:color w:val="1F1E1E"/>
          <w:sz w:val="22"/>
          <w:szCs w:val="22"/>
        </w:rPr>
        <w:t xml:space="preserve">We publish this report not because regulations require it, but because we believe transparency is a precondition for trust. If our community cannot verify how we arrive at our numbers, those numbers have no legitimate authority. We would rather be corrected than be wrong in silence.</w:t>
      </w:r>
    </w:p>
    <w:p>
      <w:pPr>
        <w:spacing w:after="120" w:before="60" w:line="320"/>
        <w:jc w:val="both"/>
      </w:pPr>
      <w:r>
        <w:rPr>
          <w:rFonts w:ascii="Arial" w:cs="Arial" w:eastAsia="Arial" w:hAnsi="Arial"/>
          <w:color w:val="1F1E1E"/>
          <w:sz w:val="22"/>
          <w:szCs w:val="22"/>
        </w:rPr>
        <w:t xml:space="preserve">This document is a living artifact. As our models improve, as community members identify errors or better data sources, and as peer-reviewed research evolves, this document will be updated accordingly. Every revision will be versioned, dated, and publicly available (see Versioning and Archival below).</w:t>
      </w:r>
    </w:p>
    <w:p>
      <w:pPr>
        <w:keepNext/>
        <w:spacing w:after="120" w:before="240"/>
      </w:pPr>
      <w:r>
        <w:rPr>
          <w:rFonts w:ascii="Arial" w:cs="Arial" w:eastAsia="Arial" w:hAnsi="Arial"/>
          <w:b/>
          <w:bCs/>
          <w:color w:val="3B5937"/>
          <w:sz w:val="22"/>
          <w:szCs w:val="22"/>
        </w:rPr>
        <w:t xml:space="preserve">1.1 Invitation for Feedback</w:t>
      </w:r>
    </w:p>
    <w:p>
      <w:pPr>
        <w:spacing w:after="120" w:before="60" w:line="320"/>
        <w:jc w:val="both"/>
      </w:pPr>
      <w:r>
        <w:rPr>
          <w:rFonts w:ascii="Arial" w:cs="Arial" w:eastAsia="Arial" w:hAnsi="Arial"/>
          <w:color w:val="1F1E1E"/>
          <w:sz w:val="22"/>
          <w:szCs w:val="22"/>
        </w:rPr>
        <w:t xml:space="preserve">We actively invite stewards, researchers, ecologists, data scientists, community members, and the general public to review these calculations and submit feedback. If you identify an error, a better data source, an improved methodology, or a concern about how a metric may be interpreted, we want to hear from you.</w:t>
      </w:r>
    </w:p>
    <w:p>
      <w:pPr>
        <w:pStyle w:val="ListParagraph"/>
        <w:numPr>
          <w:ilvl w:val="0"/>
          <w:numId w:val="2"/>
        </w:numPr>
        <w:spacing w:after="40" w:before="40" w:line="300"/>
      </w:pPr>
      <w:r>
        <w:rPr>
          <w:rFonts w:ascii="Arial" w:cs="Arial" w:eastAsia="Arial" w:hAnsi="Arial"/>
          <w:color w:val="1F1E1E"/>
          <w:sz w:val="22"/>
          <w:szCs w:val="22"/>
        </w:rPr>
        <w:t xml:space="preserve">Submit feedback by email: info@holonfoundation.org (Subject: [Metrics Feedback] Your topic here)</w:t>
      </w:r>
    </w:p>
    <w:p>
      <w:pPr>
        <w:pStyle w:val="ListParagraph"/>
        <w:numPr>
          <w:ilvl w:val="0"/>
          <w:numId w:val="2"/>
        </w:numPr>
        <w:spacing w:after="40" w:before="40" w:line="300"/>
      </w:pPr>
      <w:r>
        <w:rPr>
          <w:rFonts w:ascii="Arial" w:cs="Arial" w:eastAsia="Arial" w:hAnsi="Arial"/>
          <w:color w:val="1F1E1E"/>
          <w:sz w:val="22"/>
          <w:szCs w:val="22"/>
        </w:rPr>
        <w:t xml:space="preserve">Submit feedback via web form: holongardens.org/about.html#contact</w:t>
      </w:r>
    </w:p>
    <w:p>
      <w:pPr>
        <w:spacing w:after="120" w:before="60" w:line="320"/>
        <w:jc w:val="both"/>
      </w:pPr>
      <w:r>
        <w:rPr>
          <w:rFonts w:ascii="Arial" w:cs="Arial" w:eastAsia="Arial" w:hAnsi="Arial"/>
          <w:color w:val="1F1E1E"/>
          <w:sz w:val="22"/>
          <w:szCs w:val="22"/>
        </w:rPr>
        <w:t xml:space="preserve">All substantive feedback will be reviewed by the Holon Foundation Governance Committee and, where appropriate, incorporated into future versions of this document and the platform calculations. Contributors who improve our methodology will be acknowledged (with permission) in the revision notes.</w:t>
      </w:r>
    </w:p>
    <w:p>
      <w:pPr>
        <w:keepNext/>
        <w:spacing w:after="120" w:before="240"/>
      </w:pPr>
      <w:r>
        <w:rPr>
          <w:rFonts w:ascii="Arial" w:cs="Arial" w:eastAsia="Arial" w:hAnsi="Arial"/>
          <w:b/>
          <w:bCs/>
          <w:color w:val="3B5937"/>
          <w:sz w:val="22"/>
          <w:szCs w:val="22"/>
        </w:rPr>
        <w:t xml:space="preserve">1.2 Substantiation Standard</w:t>
      </w:r>
    </w:p>
    <w:p>
      <w:pPr>
        <w:spacing w:after="120" w:before="60" w:line="320"/>
        <w:jc w:val="both"/>
      </w:pPr>
      <w:r>
        <w:rPr>
          <w:rFonts w:ascii="Arial" w:cs="Arial" w:eastAsia="Arial" w:hAnsi="Arial"/>
          <w:color w:val="1F1E1E"/>
          <w:sz w:val="22"/>
          <w:szCs w:val="22"/>
        </w:rPr>
        <w:t xml:space="preserve">The Foundation commits that every quantitative environmental impact claim made in this document, on the platform, or in donor-facing communications, is supported by </w:t>
      </w:r>
      <w:r>
        <w:rPr>
          <w:rFonts w:ascii="Arial" w:cs="Arial" w:eastAsia="Arial" w:hAnsi="Arial"/>
          <w:b/>
          <w:bCs/>
          <w:color w:val="1F1E1E"/>
          <w:sz w:val="22"/>
          <w:szCs w:val="22"/>
        </w:rPr>
        <w:t xml:space="preserve">competent and reliable scientific evidence</w:t>
      </w:r>
      <w:r>
        <w:rPr>
          <w:rFonts w:ascii="Arial" w:cs="Arial" w:eastAsia="Arial" w:hAnsi="Arial"/>
          <w:color w:val="1F1E1E"/>
          <w:sz w:val="22"/>
          <w:szCs w:val="22"/>
        </w:rPr>
        <w:t xml:space="preserve"> — that is, tests, analyses, research, studies, or other evidence based on the expertise of professionals in the relevant area, that has been conducted and evaluated in an objective manner by persons qualified to do so, using procedures generally accepted in the profession to yield accurate and reliable results — consistent with the standard articulated in the FTC Guides for the Use of Environmental Marketing Claims, 16 C.F.R. Part 260.</w:t>
      </w:r>
    </w:p>
    <w:p>
      <w:pPr>
        <w:keepNext/>
        <w:spacing w:after="160" w:before="360"/>
      </w:pPr>
      <w:r>
        <w:rPr>
          <w:rFonts w:ascii="Arial" w:cs="Arial" w:eastAsia="Arial" w:hAnsi="Arial"/>
          <w:b/>
          <w:bCs/>
          <w:color w:val="561217"/>
          <w:sz w:val="26"/>
          <w:szCs w:val="26"/>
        </w:rPr>
        <w:t xml:space="preserve">2. Legal Disclaimers &amp; Limitations</w:t>
      </w:r>
    </w:p>
    <w:p>
      <w:pPr>
        <w:keepNext/>
        <w:spacing w:after="120" w:before="240"/>
      </w:pPr>
      <w:r>
        <w:rPr>
          <w:rFonts w:ascii="Arial" w:cs="Arial" w:eastAsia="Arial" w:hAnsi="Arial"/>
          <w:b/>
          <w:bCs/>
          <w:color w:val="3B5937"/>
          <w:sz w:val="22"/>
          <w:szCs w:val="22"/>
        </w:rPr>
        <w:t xml:space="preserve">2.1 General Disclaimer</w:t>
      </w:r>
    </w:p>
    <w:p>
      <w:pPr>
        <w:spacing w:after="120" w:before="60" w:line="320"/>
        <w:jc w:val="both"/>
      </w:pPr>
      <w:r>
        <w:rPr>
          <w:rFonts w:ascii="Arial" w:cs="Arial" w:eastAsia="Arial" w:hAnsi="Arial"/>
          <w:color w:val="1F1E1E"/>
          <w:sz w:val="22"/>
          <w:szCs w:val="22"/>
        </w:rPr>
        <w:t xml:space="preserve">The metrics, calculations, and impact estimates presented in this document and on the Holon Gardens platform are provided for informational and educational purposes only. They are based on peer-reviewed scientific literature, publicly available government data, and established environmental models, but they are estimates and approximations — not certified measurements.</w:t>
      </w:r>
    </w:p>
    <w:p>
      <w:pPr>
        <w:keepNext/>
        <w:spacing w:after="120" w:before="240"/>
      </w:pPr>
      <w:r>
        <w:rPr>
          <w:rFonts w:ascii="Arial" w:cs="Arial" w:eastAsia="Arial" w:hAnsi="Arial"/>
          <w:b/>
          <w:bCs/>
          <w:color w:val="3B5937"/>
          <w:sz w:val="22"/>
          <w:szCs w:val="22"/>
        </w:rPr>
        <w:t xml:space="preserve">2.2 Not Professional Advice</w:t>
      </w:r>
    </w:p>
    <w:p>
      <w:pPr>
        <w:spacing w:after="120" w:before="60" w:line="320"/>
        <w:jc w:val="both"/>
      </w:pPr>
      <w:r>
        <w:rPr>
          <w:rFonts w:ascii="Arial" w:cs="Arial" w:eastAsia="Arial" w:hAnsi="Arial"/>
          <w:color w:val="1F1E1E"/>
          <w:sz w:val="22"/>
          <w:szCs w:val="22"/>
        </w:rPr>
        <w:t xml:space="preserve">Nothing in this document constitutes professional ecological, environmental, engineering, financial, legal, or real estate advice. The impact calculations should not be used as the sole basis for financial decisions, property valuations, insurance claims, regulatory compliance, or legal proceedings. Users should consult qualified professionals for site-specific assessments.</w:t>
      </w:r>
    </w:p>
    <w:p>
      <w:pPr>
        <w:keepNext/>
        <w:spacing w:after="120" w:before="240"/>
      </w:pPr>
      <w:r>
        <w:rPr>
          <w:rFonts w:ascii="Arial" w:cs="Arial" w:eastAsia="Arial" w:hAnsi="Arial"/>
          <w:b/>
          <w:bCs/>
          <w:color w:val="3B5937"/>
          <w:sz w:val="22"/>
          <w:szCs w:val="22"/>
        </w:rPr>
        <w:t xml:space="preserve">2.3 Model Limitations</w:t>
      </w:r>
    </w:p>
    <w:p>
      <w:pPr>
        <w:spacing w:after="120" w:before="60" w:line="320"/>
        <w:jc w:val="both"/>
      </w:pPr>
      <w:r>
        <w:rPr>
          <w:rFonts w:ascii="Arial" w:cs="Arial" w:eastAsia="Arial" w:hAnsi="Arial"/>
          <w:color w:val="1F1E1E"/>
          <w:sz w:val="22"/>
          <w:szCs w:val="22"/>
        </w:rPr>
        <w:t xml:space="preserve">All environmental models involve simplifying assumptions. The Holon Gardens calculation engine uses zone-level averages (not parcel-specific data), linear scaling for most metrics, and literature-derived constants that represent typical conditions rather than site-specific measurements. Actual ecological performance varies based on soil type, microclimate, plant maturity, maintenance practices, adjacent land use, rainfall patterns, and many other factors not captured in our model.</w:t>
      </w:r>
    </w:p>
    <w:p>
      <w:pPr>
        <w:keepNext/>
        <w:spacing w:after="120" w:before="240"/>
      </w:pPr>
      <w:r>
        <w:rPr>
          <w:rFonts w:ascii="Arial" w:cs="Arial" w:eastAsia="Arial" w:hAnsi="Arial"/>
          <w:b/>
          <w:bCs/>
          <w:color w:val="3B5937"/>
          <w:sz w:val="22"/>
          <w:szCs w:val="22"/>
        </w:rPr>
        <w:t xml:space="preserve">2.4 Data Source Limitations</w:t>
      </w:r>
    </w:p>
    <w:p>
      <w:pPr>
        <w:spacing w:after="120" w:before="60" w:line="320"/>
        <w:jc w:val="both"/>
      </w:pPr>
      <w:r>
        <w:rPr>
          <w:rFonts w:ascii="Arial" w:cs="Arial" w:eastAsia="Arial" w:hAnsi="Arial"/>
          <w:color w:val="1F1E1E"/>
          <w:sz w:val="22"/>
          <w:szCs w:val="22"/>
        </w:rPr>
        <w:t xml:space="preserve">Baseline parameters derive from published research, NOAA climate normals, EPA reports, USDA Forest Service data, and academic literature. These sources are cited throughout this document. However, science evolves; constants used today may be refined by future research. We commit to updating our baselines as better data becomes available.</w:t>
      </w:r>
    </w:p>
    <w:p>
      <w:pPr>
        <w:keepNext/>
        <w:spacing w:after="120" w:before="240"/>
      </w:pPr>
      <w:r>
        <w:rPr>
          <w:rFonts w:ascii="Arial" w:cs="Arial" w:eastAsia="Arial" w:hAnsi="Arial"/>
          <w:b/>
          <w:bCs/>
          <w:color w:val="3B5937"/>
          <w:sz w:val="22"/>
          <w:szCs w:val="22"/>
        </w:rPr>
        <w:t xml:space="preserve">2.5 No Guarantee of Outcomes</w:t>
      </w:r>
    </w:p>
    <w:p>
      <w:pPr>
        <w:spacing w:after="120" w:before="60" w:line="320"/>
        <w:jc w:val="both"/>
      </w:pPr>
      <w:r>
        <w:rPr>
          <w:rFonts w:ascii="Arial" w:cs="Arial" w:eastAsia="Arial" w:hAnsi="Arial"/>
          <w:color w:val="1F1E1E"/>
          <w:sz w:val="22"/>
          <w:szCs w:val="22"/>
        </w:rPr>
        <w:t xml:space="preserve">Registering a garden on the Holon platform and receiving calculated impact metrics does not guarantee that the stated ecological, economic, or social outcomes will materialize. Metrics represent potential impact under typical conditions, not verified or measured outcomes.</w:t>
      </w:r>
    </w:p>
    <w:p>
      <w:pPr>
        <w:keepNext/>
        <w:spacing w:after="120" w:before="240"/>
      </w:pPr>
      <w:r>
        <w:rPr>
          <w:rFonts w:ascii="Arial" w:cs="Arial" w:eastAsia="Arial" w:hAnsi="Arial"/>
          <w:b/>
          <w:bCs/>
          <w:color w:val="3B5937"/>
          <w:sz w:val="22"/>
          <w:szCs w:val="22"/>
        </w:rPr>
        <w:t xml:space="preserve">2.6 Voluntary Stewardship and No Agency</w:t>
      </w:r>
    </w:p>
    <w:p>
      <w:pPr>
        <w:spacing w:after="120" w:before="60" w:line="320"/>
        <w:jc w:val="both"/>
      </w:pPr>
      <w:r>
        <w:rPr>
          <w:rFonts w:ascii="Arial" w:cs="Arial" w:eastAsia="Arial" w:hAnsi="Arial"/>
          <w:color w:val="1F1E1E"/>
          <w:sz w:val="22"/>
          <w:szCs w:val="22"/>
        </w:rPr>
        <w:t xml:space="preserve">The Holon Community Stewardship Model is a voluntary, community-verified recognition system. It does not create:</w:t>
      </w:r>
    </w:p>
    <w:p>
      <w:pPr>
        <w:spacing w:after="120" w:before="60" w:line="320"/>
        <w:jc w:val="both"/>
      </w:pPr>
      <w:r>
        <w:rPr>
          <w:rFonts w:ascii="Arial" w:cs="Arial" w:eastAsia="Arial" w:hAnsi="Arial"/>
          <w:color w:val="1F1E1E"/>
          <w:sz w:val="22"/>
          <w:szCs w:val="22"/>
        </w:rPr>
        <w:t xml:space="preserve">(a) a conservation trust, legal land easement, permanent deed restriction, or any form of legally binding obligation;</w:t>
      </w:r>
    </w:p>
    <w:p>
      <w:pPr>
        <w:spacing w:after="120" w:before="60" w:line="320"/>
        <w:jc w:val="both"/>
      </w:pPr>
      <w:r>
        <w:rPr>
          <w:rFonts w:ascii="Arial" w:cs="Arial" w:eastAsia="Arial" w:hAnsi="Arial"/>
          <w:color w:val="1F1E1E"/>
          <w:sz w:val="22"/>
          <w:szCs w:val="22"/>
        </w:rPr>
        <w:t xml:space="preserve">(b) an agency, joint venture, employment, or partnership relationship between Holon Foundation and any garden steward;</w:t>
      </w:r>
    </w:p>
    <w:p>
      <w:pPr>
        <w:spacing w:after="120" w:before="60" w:line="320"/>
        <w:jc w:val="both"/>
      </w:pPr>
      <w:r>
        <w:rPr>
          <w:rFonts w:ascii="Arial" w:cs="Arial" w:eastAsia="Arial" w:hAnsi="Arial"/>
          <w:color w:val="1F1E1E"/>
          <w:sz w:val="22"/>
          <w:szCs w:val="22"/>
        </w:rPr>
        <w:t xml:space="preserve">(c) any warranty by Holon Foundation that a verified garden actually meets the claimed standards on a continuing basis; or</w:t>
      </w:r>
    </w:p>
    <w:p>
      <w:pPr>
        <w:spacing w:after="120" w:before="60" w:line="320"/>
        <w:jc w:val="both"/>
      </w:pPr>
      <w:r>
        <w:rPr>
          <w:rFonts w:ascii="Arial" w:cs="Arial" w:eastAsia="Arial" w:hAnsi="Arial"/>
          <w:color w:val="1F1E1E"/>
          <w:sz w:val="22"/>
          <w:szCs w:val="22"/>
        </w:rPr>
        <w:t xml:space="preserve">(d) any duty to enforce stewardship commitments against the property owner.</w:t>
      </w:r>
    </w:p>
    <w:p>
      <w:pPr>
        <w:spacing w:after="120" w:before="60" w:line="320"/>
        <w:jc w:val="both"/>
      </w:pPr>
      <w:r>
        <w:rPr>
          <w:rFonts w:ascii="Arial" w:cs="Arial" w:eastAsia="Arial" w:hAnsi="Arial"/>
          <w:color w:val="1F1E1E"/>
          <w:sz w:val="22"/>
          <w:szCs w:val="22"/>
        </w:rPr>
        <w:t xml:space="preserve">Donors and the public should understand that "verified" means "community-peer-reviewed at point of registration" and is subject to the limitations described in this Report and in Holon Foundation Policy No. 21 (Garden Reporting &amp; Trust Integrity Policy).</w:t>
      </w:r>
    </w:p>
    <w:p>
      <w:pPr>
        <w:keepNext/>
        <w:spacing w:after="120" w:before="240"/>
      </w:pPr>
      <w:r>
        <w:rPr>
          <w:rFonts w:ascii="Arial" w:cs="Arial" w:eastAsia="Arial" w:hAnsi="Arial"/>
          <w:b/>
          <w:bCs/>
          <w:color w:val="3B5937"/>
          <w:sz w:val="22"/>
          <w:szCs w:val="22"/>
        </w:rPr>
        <w:t xml:space="preserve">2.7 Intellectual Property</w:t>
      </w:r>
    </w:p>
    <w:p>
      <w:pPr>
        <w:spacing w:after="120" w:before="60" w:line="320"/>
        <w:jc w:val="both"/>
      </w:pPr>
      <w:r>
        <w:rPr>
          <w:rFonts w:ascii="Arial" w:cs="Arial" w:eastAsia="Arial" w:hAnsi="Arial"/>
          <w:color w:val="1F1E1E"/>
          <w:sz w:val="22"/>
          <w:szCs w:val="22"/>
        </w:rPr>
        <w:t xml:space="preserve">The calculation methodologies, code, and platform design are the intellectual property of Holon Foundation. This transparency report is published under a Creative Commons Attribution-NonCommercial-ShareAlike 4.0 International License (CC BY-NC-SA 4.0), meaning you are free to share and adapt this document for non-commercial purposes with appropriate attribution.</w:t>
      </w:r>
    </w:p>
    <w:p>
      <w:pPr>
        <w:keepNext/>
        <w:spacing w:after="120" w:before="240"/>
      </w:pPr>
      <w:r>
        <w:rPr>
          <w:rFonts w:ascii="Arial" w:cs="Arial" w:eastAsia="Arial" w:hAnsi="Arial"/>
          <w:b/>
          <w:bCs/>
          <w:color w:val="3B5937"/>
          <w:sz w:val="22"/>
          <w:szCs w:val="22"/>
        </w:rPr>
        <w:t xml:space="preserve">2.8 Limitation of Liability</w:t>
      </w:r>
    </w:p>
    <w:p>
      <w:pPr>
        <w:spacing w:after="120" w:before="60" w:line="320"/>
        <w:jc w:val="both"/>
      </w:pPr>
      <w:r>
        <w:rPr>
          <w:rFonts w:ascii="Arial" w:cs="Arial" w:eastAsia="Arial" w:hAnsi="Arial"/>
          <w:color w:val="1F1E1E"/>
          <w:sz w:val="22"/>
          <w:szCs w:val="22"/>
        </w:rPr>
        <w:t xml:space="preserve">To the fullest extent permitted by law and excluding any liability that cannot be limited under Texas law (including, without limitation, claims for gross negligence, fraud, intentional misconduct, or any rights not waivable under the Texas Deceptive Trade Practices-Consumer Protection Act § 17.42), Holon Foundation, its directors, officers, employees, and volunteers shall not be liable for any direct, indirect, incidental, consequential, or special damages arising from reliance on the metrics, calculations, or impact estimates presented in this document or on the platform. Users assume all risk associated with the use of this information.</w:t>
      </w:r>
    </w:p>
    <w:p>
      <w:pPr>
        <w:keepNext/>
        <w:spacing w:after="120" w:before="240"/>
      </w:pPr>
      <w:r>
        <w:rPr>
          <w:rFonts w:ascii="Arial" w:cs="Arial" w:eastAsia="Arial" w:hAnsi="Arial"/>
          <w:b/>
          <w:bCs/>
          <w:color w:val="3B5937"/>
          <w:sz w:val="22"/>
          <w:szCs w:val="22"/>
        </w:rPr>
        <w:t xml:space="preserve">2.9 Governing Law and Venue</w:t>
      </w:r>
    </w:p>
    <w:p>
      <w:pPr>
        <w:spacing w:after="120" w:before="60" w:line="320"/>
        <w:jc w:val="both"/>
      </w:pPr>
      <w:r>
        <w:rPr>
          <w:rFonts w:ascii="Arial" w:cs="Arial" w:eastAsia="Arial" w:hAnsi="Arial"/>
          <w:color w:val="1F1E1E"/>
          <w:sz w:val="22"/>
          <w:szCs w:val="22"/>
        </w:rPr>
        <w:t xml:space="preserve">This document, and any dispute arising from reliance on its contents, shall be governed by the laws of the State of Texas without regard to conflict-of-law principles. Exclusive venue for any action lies in the state and federal courts located in Harris County, Texas.</w:t>
      </w:r>
    </w:p>
    <w:p>
      <w:pPr>
        <w:keepNext/>
        <w:spacing w:after="120" w:before="240"/>
      </w:pPr>
      <w:r>
        <w:rPr>
          <w:rFonts w:ascii="Arial" w:cs="Arial" w:eastAsia="Arial" w:hAnsi="Arial"/>
          <w:b/>
          <w:bCs/>
          <w:color w:val="3B5937"/>
          <w:sz w:val="22"/>
          <w:szCs w:val="22"/>
        </w:rPr>
        <w:t xml:space="preserve">2.10 Contributor License</w:t>
      </w:r>
    </w:p>
    <w:p>
      <w:pPr>
        <w:spacing w:after="120" w:before="60" w:line="320"/>
        <w:jc w:val="both"/>
      </w:pPr>
      <w:r>
        <w:rPr>
          <w:rFonts w:ascii="Arial" w:cs="Arial" w:eastAsia="Arial" w:hAnsi="Arial"/>
          <w:color w:val="1F1E1E"/>
          <w:sz w:val="22"/>
          <w:szCs w:val="22"/>
        </w:rPr>
        <w:t xml:space="preserve">By submitting feedback, methodology suggestions, or peer-review corrections to the Foundation through any of the channels described in § 1.1, the contributor grants the Foundation a perpetual, worldwide, royalty-free, non-exclusive license to use, reproduce, modify, and distribute the contribution as part of this Report or the platform's methodology, with attribution to the contributor where the contribution is substantive (subject to the contributor's permission as to naming). The contributor warrants that the contribution is the contributor's own work or is lawfully shared without infringing third-party rights, and grants no rights inconsistent with the CC BY-NC-SA 4.0 license under which this Report is published.</w:t>
      </w:r>
    </w:p>
    <w:p>
      <w:pPr>
        <w:keepNext/>
        <w:spacing w:after="120" w:before="240"/>
      </w:pPr>
      <w:r>
        <w:rPr>
          <w:rFonts w:ascii="Arial" w:cs="Arial" w:eastAsia="Arial" w:hAnsi="Arial"/>
          <w:b/>
          <w:bCs/>
          <w:color w:val="3B5937"/>
          <w:sz w:val="22"/>
          <w:szCs w:val="22"/>
        </w:rPr>
        <w:t xml:space="preserve">2.11 Versioning and Archival</w:t>
      </w:r>
    </w:p>
    <w:p>
      <w:pPr>
        <w:spacing w:after="120" w:before="60" w:line="320"/>
        <w:jc w:val="both"/>
      </w:pPr>
      <w:r>
        <w:rPr>
          <w:rFonts w:ascii="Arial" w:cs="Arial" w:eastAsia="Arial" w:hAnsi="Arial"/>
          <w:color w:val="1F1E1E"/>
          <w:sz w:val="22"/>
          <w:szCs w:val="22"/>
        </w:rPr>
        <w:t xml:space="preserve">This Report follows semantic versioning (MAJOR.MINOR.PATCH): MAJOR for methodological changes affecting time-series comparability; MINOR for added dimensions, sources, or parameters; PATCH for typographical or non-substantive corrections. Each version is published at holonfoundation.org/methodology/changelog with a dated diff against the prior version. Archival copies of every cited external data source at time of adoption are retained per Holon Foundation Policy No. 06 (Document Retention and Destruction Policy), with material updates to cited sources reviewed under the procedures of Policy No. 18 (Environmental Impact Reporting Standards).</w:t>
      </w:r>
    </w:p>
    <w:p>
      <w:pPr>
        <w:keepNext/>
        <w:spacing w:after="160" w:before="360"/>
      </w:pPr>
      <w:r>
        <w:rPr>
          <w:rFonts w:ascii="Arial" w:cs="Arial" w:eastAsia="Arial" w:hAnsi="Arial"/>
          <w:b/>
          <w:bCs/>
          <w:color w:val="561217"/>
          <w:sz w:val="26"/>
          <w:szCs w:val="26"/>
        </w:rPr>
        <w:t xml:space="preserve">3. Geographic Zone Baselines</w:t>
      </w:r>
    </w:p>
    <w:p>
      <w:pPr>
        <w:spacing w:after="120" w:before="60" w:line="320"/>
        <w:jc w:val="both"/>
      </w:pPr>
      <w:r>
        <w:rPr>
          <w:rFonts w:ascii="Arial" w:cs="Arial" w:eastAsia="Arial" w:hAnsi="Arial"/>
          <w:color w:val="1F1E1E"/>
          <w:sz w:val="22"/>
          <w:szCs w:val="22"/>
        </w:rPr>
        <w:t xml:space="preserve">Every impact calculation begins with a zone-specific baseline. The system detects the garden's geographic zone from its registered city or address and applies the corresponding constants. Four zones are currently defined: Central Texas (Austin/San Antonio corridor), Gulf Coast Texas (Houston/Galveston/Beaumont), North Texas/DFW (Dallas/Fort Worth metro), and a Default fallback for unrecognized locations.</w:t>
      </w:r>
    </w:p>
    <w:p>
      <w:pPr>
        <w:keepNext/>
        <w:spacing w:after="120" w:before="240"/>
      </w:pPr>
      <w:r>
        <w:rPr>
          <w:rFonts w:ascii="Arial" w:cs="Arial" w:eastAsia="Arial" w:hAnsi="Arial"/>
          <w:b/>
          <w:bCs/>
          <w:color w:val="3B5937"/>
          <w:sz w:val="22"/>
          <w:szCs w:val="22"/>
        </w:rPr>
        <w:t xml:space="preserve">3.1 Zone Parameters (current configuration)</w:t>
      </w:r>
    </w:p>
    <w:p>
      <w:pPr>
        <w:spacing w:after="120" w:before="60" w:line="320"/>
        <w:jc w:val="both"/>
      </w:pPr>
      <w:r>
        <w:rPr>
          <w:rFonts w:ascii="Arial" w:cs="Arial" w:eastAsia="Arial" w:hAnsi="Arial"/>
          <w:color w:val="1F1E1E"/>
          <w:sz w:val="22"/>
          <w:szCs w:val="22"/>
        </w:rPr>
        <w:t xml:space="preserve">(Detailed zone parameter table maintained at holonfoundation.org/methodology/zones; archived per Policy No. 06.)</w:t>
      </w:r>
    </w:p>
    <w:p>
      <w:pPr>
        <w:keepNext/>
        <w:spacing w:after="120" w:before="240"/>
      </w:pPr>
      <w:r>
        <w:rPr>
          <w:rFonts w:ascii="Arial" w:cs="Arial" w:eastAsia="Arial" w:hAnsi="Arial"/>
          <w:b/>
          <w:bCs/>
          <w:color w:val="3B5937"/>
          <w:sz w:val="22"/>
          <w:szCs w:val="22"/>
        </w:rPr>
        <w:t xml:space="preserve">3.2 Parameter Sources</w:t>
      </w:r>
    </w:p>
    <w:p>
      <w:pPr>
        <w:pStyle w:val="ListParagraph"/>
        <w:numPr>
          <w:ilvl w:val="0"/>
          <w:numId w:val="2"/>
        </w:numPr>
        <w:spacing w:after="40" w:before="40" w:line="300"/>
      </w:pPr>
      <w:r>
        <w:rPr>
          <w:rFonts w:ascii="Arial" w:cs="Arial" w:eastAsia="Arial" w:hAnsi="Arial"/>
          <w:b/>
          <w:bCs/>
          <w:color w:val="1F1E1E"/>
          <w:sz w:val="22"/>
          <w:szCs w:val="22"/>
        </w:rPr>
        <w:t xml:space="preserve">Rainfall.</w:t>
      </w:r>
      <w:r>
        <w:rPr>
          <w:rFonts w:ascii="Arial" w:cs="Arial" w:eastAsia="Arial" w:hAnsi="Arial"/>
          <w:color w:val="1F1E1E"/>
          <w:sz w:val="22"/>
          <w:szCs w:val="22"/>
        </w:rPr>
        <w:t xml:space="preserve"> NOAA Climate Normals (1991–2020 annual precipitation averages by region).</w:t>
      </w:r>
    </w:p>
    <w:p>
      <w:pPr>
        <w:pStyle w:val="ListParagraph"/>
        <w:numPr>
          <w:ilvl w:val="0"/>
          <w:numId w:val="2"/>
        </w:numPr>
        <w:spacing w:after="40" w:before="40" w:line="300"/>
      </w:pPr>
      <w:r>
        <w:rPr>
          <w:rFonts w:ascii="Arial" w:cs="Arial" w:eastAsia="Arial" w:hAnsi="Arial"/>
          <w:b/>
          <w:bCs/>
          <w:color w:val="1F1E1E"/>
          <w:sz w:val="22"/>
          <w:szCs w:val="22"/>
        </w:rPr>
        <w:t xml:space="preserve">Infiltration rates.</w:t>
      </w:r>
      <w:r>
        <w:rPr>
          <w:rFonts w:ascii="Arial" w:cs="Arial" w:eastAsia="Arial" w:hAnsi="Arial"/>
          <w:color w:val="1F1E1E"/>
          <w:sz w:val="22"/>
          <w:szCs w:val="22"/>
        </w:rPr>
        <w:t xml:space="preserve"> EPA stormwater management literature; prairie root system studies documenting 6–15 ft root depth and 18× infiltration improvement over turf.</w:t>
      </w:r>
    </w:p>
    <w:p>
      <w:pPr>
        <w:pStyle w:val="ListParagraph"/>
        <w:numPr>
          <w:ilvl w:val="0"/>
          <w:numId w:val="2"/>
        </w:numPr>
        <w:spacing w:after="40" w:before="40" w:line="300"/>
      </w:pPr>
      <w:r>
        <w:rPr>
          <w:rFonts w:ascii="Arial" w:cs="Arial" w:eastAsia="Arial" w:hAnsi="Arial"/>
          <w:b/>
          <w:bCs/>
          <w:color w:val="1F1E1E"/>
          <w:sz w:val="22"/>
          <w:szCs w:val="22"/>
        </w:rPr>
        <w:t xml:space="preserve">Water capture factors.</w:t>
      </w:r>
      <w:r>
        <w:rPr>
          <w:rFonts w:ascii="Arial" w:cs="Arial" w:eastAsia="Arial" w:hAnsi="Arial"/>
          <w:color w:val="1F1E1E"/>
          <w:sz w:val="22"/>
          <w:szCs w:val="22"/>
        </w:rPr>
        <w:t xml:space="preserve"> Derived from rainfall × infiltration differential between native and lawn landscapes, calibrated to regional precipitation patterns.</w:t>
      </w:r>
    </w:p>
    <w:p>
      <w:pPr>
        <w:pStyle w:val="ListParagraph"/>
        <w:numPr>
          <w:ilvl w:val="0"/>
          <w:numId w:val="2"/>
        </w:numPr>
        <w:spacing w:after="40" w:before="40" w:line="300"/>
      </w:pPr>
      <w:r>
        <w:rPr>
          <w:rFonts w:ascii="Arial" w:cs="Arial" w:eastAsia="Arial" w:hAnsi="Arial"/>
          <w:b/>
          <w:bCs/>
          <w:color w:val="1F1E1E"/>
          <w:sz w:val="22"/>
          <w:szCs w:val="22"/>
        </w:rPr>
        <w:t xml:space="preserve">Cooling Degree Days.</w:t>
      </w:r>
      <w:r>
        <w:rPr>
          <w:rFonts w:ascii="Arial" w:cs="Arial" w:eastAsia="Arial" w:hAnsi="Arial"/>
          <w:color w:val="1F1E1E"/>
          <w:sz w:val="22"/>
          <w:szCs w:val="22"/>
        </w:rPr>
        <w:t xml:space="preserve"> NOAA CDD data by climate region, used to scale energy savings from tree canopy shading.</w:t>
      </w:r>
    </w:p>
    <w:p>
      <w:pPr>
        <w:pStyle w:val="ListParagraph"/>
        <w:numPr>
          <w:ilvl w:val="0"/>
          <w:numId w:val="2"/>
        </w:numPr>
        <w:spacing w:after="40" w:before="40" w:line="300"/>
      </w:pPr>
      <w:r>
        <w:rPr>
          <w:rFonts w:ascii="Arial" w:cs="Arial" w:eastAsia="Arial" w:hAnsi="Arial"/>
          <w:b/>
          <w:bCs/>
          <w:color w:val="1F1E1E"/>
          <w:sz w:val="22"/>
          <w:szCs w:val="22"/>
        </w:rPr>
        <w:t xml:space="preserve">CO2 sequestration.</w:t>
      </w:r>
      <w:r>
        <w:rPr>
          <w:rFonts w:ascii="Arial" w:cs="Arial" w:eastAsia="Arial" w:hAnsi="Arial"/>
          <w:color w:val="1F1E1E"/>
          <w:sz w:val="22"/>
          <w:szCs w:val="22"/>
        </w:rPr>
        <w:t xml:space="preserve"> USDA Forest Service i-Tree model estimates for urban trees; prairie carbon literature for grassland sequestration rates.</w:t>
      </w:r>
    </w:p>
    <w:p>
      <w:pPr>
        <w:pStyle w:val="ListParagraph"/>
        <w:numPr>
          <w:ilvl w:val="0"/>
          <w:numId w:val="2"/>
        </w:numPr>
        <w:spacing w:after="40" w:before="40" w:line="300"/>
      </w:pPr>
      <w:r>
        <w:rPr>
          <w:rFonts w:ascii="Arial" w:cs="Arial" w:eastAsia="Arial" w:hAnsi="Arial"/>
          <w:b/>
          <w:bCs/>
          <w:color w:val="1F1E1E"/>
          <w:sz w:val="22"/>
          <w:szCs w:val="22"/>
        </w:rPr>
        <w:t xml:space="preserve">Maintenance costs.</w:t>
      </w:r>
      <w:r>
        <w:rPr>
          <w:rFonts w:ascii="Arial" w:cs="Arial" w:eastAsia="Arial" w:hAnsi="Arial"/>
          <w:color w:val="1F1E1E"/>
          <w:sz w:val="22"/>
          <w:szCs w:val="22"/>
        </w:rPr>
        <w:t xml:space="preserve"> University of California Cooperative Extension studies; Ernst Seeds native landscape economics; regional lawn care market surveys.</w:t>
      </w:r>
    </w:p>
    <w:p>
      <w:pPr>
        <w:pStyle w:val="ListParagraph"/>
        <w:numPr>
          <w:ilvl w:val="0"/>
          <w:numId w:val="2"/>
        </w:numPr>
        <w:spacing w:after="40" w:before="40" w:line="300"/>
      </w:pPr>
      <w:r>
        <w:rPr>
          <w:rFonts w:ascii="Arial" w:cs="Arial" w:eastAsia="Arial" w:hAnsi="Arial"/>
          <w:b/>
          <w:bCs/>
          <w:color w:val="1F1E1E"/>
          <w:sz w:val="22"/>
          <w:szCs w:val="22"/>
        </w:rPr>
        <w:t xml:space="preserve">Blower emissions.</w:t>
      </w:r>
      <w:r>
        <w:rPr>
          <w:rFonts w:ascii="Arial" w:cs="Arial" w:eastAsia="Arial" w:hAnsi="Arial"/>
          <w:color w:val="1F1E1E"/>
          <w:sz w:val="22"/>
          <w:szCs w:val="22"/>
        </w:rPr>
        <w:t xml:space="preserve"> EPA Small Engine Emissions Standards; Edmunds (2011) leaf blower emissions testing. 945 g CO2 per session based on commercial-grade gas leaf blower operation.</w:t>
      </w:r>
    </w:p>
    <w:p>
      <w:pPr>
        <w:pStyle w:val="ListParagraph"/>
        <w:numPr>
          <w:ilvl w:val="0"/>
          <w:numId w:val="2"/>
        </w:numPr>
        <w:spacing w:after="40" w:before="40" w:line="300"/>
      </w:pPr>
      <w:r>
        <w:rPr>
          <w:rFonts w:ascii="Arial" w:cs="Arial" w:eastAsia="Arial" w:hAnsi="Arial"/>
          <w:b/>
          <w:bCs/>
          <w:color w:val="1F1E1E"/>
          <w:sz w:val="22"/>
          <w:szCs w:val="22"/>
        </w:rPr>
        <w:t xml:space="preserve">Reference species.</w:t>
      </w:r>
      <w:r>
        <w:rPr>
          <w:rFonts w:ascii="Arial" w:cs="Arial" w:eastAsia="Arial" w:hAnsi="Arial"/>
          <w:color w:val="1F1E1E"/>
          <w:sz w:val="22"/>
          <w:szCs w:val="22"/>
        </w:rPr>
        <w:t xml:space="preserve"> Regional native plant databases (Lady Bird Johnson Wildflower Center, NPSOT) adjusted for typical urban garden feasibility.</w:t>
      </w:r>
    </w:p>
    <w:p>
      <w:pPr>
        <w:keepNext/>
        <w:spacing w:after="160" w:before="360"/>
      </w:pPr>
      <w:r>
        <w:rPr>
          <w:rFonts w:ascii="Arial" w:cs="Arial" w:eastAsia="Arial" w:hAnsi="Arial"/>
          <w:b/>
          <w:bCs/>
          <w:color w:val="561217"/>
          <w:sz w:val="26"/>
          <w:szCs w:val="26"/>
        </w:rPr>
        <w:t xml:space="preserve">4. Nine-Dimension Impact Calculation Engine</w:t>
      </w:r>
    </w:p>
    <w:p>
      <w:pPr>
        <w:spacing w:after="120" w:before="60" w:line="320"/>
        <w:jc w:val="both"/>
      </w:pPr>
      <w:r>
        <w:rPr>
          <w:rFonts w:ascii="Arial" w:cs="Arial" w:eastAsia="Arial" w:hAnsi="Arial"/>
          <w:color w:val="1F1E1E"/>
          <w:sz w:val="22"/>
          <w:szCs w:val="22"/>
        </w:rPr>
        <w:t xml:space="preserve">The core impact engine calculates metrics across nine environmental and social dimensions for each registered garden. All calculations take as input the garden's size (square feet), active commitments, species count, tree count, and zone baseline. The function `calculateGardenImpact()` in portal.html (lines 12967–13031) produces this output.</w:t>
      </w:r>
    </w:p>
    <w:p>
      <w:pPr>
        <w:keepNext/>
        <w:spacing w:after="120" w:before="240"/>
      </w:pPr>
      <w:r>
        <w:rPr>
          <w:rFonts w:ascii="Arial" w:cs="Arial" w:eastAsia="Arial" w:hAnsi="Arial"/>
          <w:b/>
          <w:bCs/>
          <w:color w:val="3B5937"/>
          <w:sz w:val="22"/>
          <w:szCs w:val="22"/>
        </w:rPr>
        <w:t xml:space="preserve">4.1 Water Dimension</w:t>
      </w:r>
    </w:p>
    <w:p>
      <w:pPr>
        <w:spacing w:after="120" w:before="60" w:line="320"/>
        <w:jc w:val="both"/>
      </w:pPr>
      <w:r>
        <w:rPr>
          <w:rFonts w:ascii="Arial" w:cs="Arial" w:eastAsia="Arial" w:hAnsi="Arial"/>
          <w:color w:val="1F1E1E"/>
          <w:sz w:val="22"/>
          <w:szCs w:val="22"/>
        </w:rPr>
        <w:t xml:space="preserve">Measures stormwater capture, drought resilience, and irrigation savings from converting lawn to native landscape.</w:t>
      </w:r>
    </w:p>
    <w:p>
      <w:pPr>
        <w:pStyle w:val="ListParagraph"/>
        <w:numPr>
          <w:ilvl w:val="0"/>
          <w:numId w:val="2"/>
        </w:numPr>
        <w:spacing w:after="40" w:before="40" w:line="300"/>
      </w:pPr>
      <w:r>
        <w:rPr>
          <w:rFonts w:ascii="Arial" w:cs="Arial" w:eastAsia="Arial" w:hAnsi="Arial"/>
          <w:b/>
          <w:bCs/>
          <w:color w:val="1F1E1E"/>
          <w:sz w:val="22"/>
          <w:szCs w:val="22"/>
        </w:rPr>
        <w:t xml:space="preserve">Water Capture:</w:t>
      </w:r>
      <w:r>
        <w:rPr>
          <w:rFonts w:ascii="Arial" w:cs="Arial" w:eastAsia="Arial" w:hAnsi="Arial"/>
          <w:color w:val="1F1E1E"/>
          <w:sz w:val="22"/>
          <w:szCs w:val="22"/>
        </w:rPr>
        <w:t xml:space="preserve"> `waterCapture = sqft × zone.water_factor × waterMultiplier`. The water multiplier starts at 1.0× and increases with water-related commitments: 1.3× for rainwater harvesting (W.1) or rain gardens (W.2), and 1.5× for advanced water stewardship (W.3). Source: EPA rain garden performance data; regional precipitation-infiltration models.</w:t>
      </w:r>
    </w:p>
    <w:p>
      <w:pPr>
        <w:pStyle w:val="ListParagraph"/>
        <w:numPr>
          <w:ilvl w:val="0"/>
          <w:numId w:val="2"/>
        </w:numPr>
        <w:spacing w:after="40" w:before="40" w:line="300"/>
      </w:pPr>
      <w:r>
        <w:rPr>
          <w:rFonts w:ascii="Arial" w:cs="Arial" w:eastAsia="Arial" w:hAnsi="Arial"/>
          <w:b/>
          <w:bCs/>
          <w:color w:val="1F1E1E"/>
          <w:sz w:val="22"/>
          <w:szCs w:val="22"/>
        </w:rPr>
        <w:t xml:space="preserve">Water Banking (Drought Resilience):</w:t>
      </w:r>
      <w:r>
        <w:rPr>
          <w:rFonts w:ascii="Arial" w:cs="Arial" w:eastAsia="Arial" w:hAnsi="Arial"/>
          <w:color w:val="1F1E1E"/>
          <w:sz w:val="22"/>
          <w:szCs w:val="22"/>
        </w:rPr>
        <w:t xml:space="preserve"> `waterBanking = sqft × zone.banking_factor`. Source: Soil water-holding capacity literature for native prairie root systems.</w:t>
      </w:r>
    </w:p>
    <w:p>
      <w:pPr>
        <w:pStyle w:val="ListParagraph"/>
        <w:numPr>
          <w:ilvl w:val="0"/>
          <w:numId w:val="2"/>
        </w:numPr>
        <w:spacing w:after="40" w:before="40" w:line="300"/>
      </w:pPr>
      <w:r>
        <w:rPr>
          <w:rFonts w:ascii="Arial" w:cs="Arial" w:eastAsia="Arial" w:hAnsi="Arial"/>
          <w:b/>
          <w:bCs/>
          <w:color w:val="1F1E1E"/>
          <w:sz w:val="22"/>
          <w:szCs w:val="22"/>
        </w:rPr>
        <w:t xml:space="preserve">Irrigation Saved:</w:t>
      </w:r>
      <w:r>
        <w:rPr>
          <w:rFonts w:ascii="Arial" w:cs="Arial" w:eastAsia="Arial" w:hAnsi="Arial"/>
          <w:color w:val="1F1E1E"/>
          <w:sz w:val="22"/>
          <w:szCs w:val="22"/>
        </w:rPr>
        <w:t xml:space="preserve"> `irrigationSaved = sqft × (zone.irrigation_lawn − zone.irrigation_native)`. Source: Texas A&amp;M AgriLife Extension irrigation benchmarks for turf vs. native landscapes.</w:t>
      </w:r>
    </w:p>
    <w:p>
      <w:pPr>
        <w:pStyle w:val="ListParagraph"/>
        <w:numPr>
          <w:ilvl w:val="0"/>
          <w:numId w:val="2"/>
        </w:numPr>
        <w:spacing w:after="40" w:before="40" w:line="300"/>
      </w:pPr>
      <w:r>
        <w:rPr>
          <w:rFonts w:ascii="Arial" w:cs="Arial" w:eastAsia="Arial" w:hAnsi="Arial"/>
          <w:b/>
          <w:bCs/>
          <w:color w:val="1F1E1E"/>
          <w:sz w:val="22"/>
          <w:szCs w:val="22"/>
        </w:rPr>
        <w:t xml:space="preserve">Total Water Impact:</w:t>
      </w:r>
      <w:r>
        <w:rPr>
          <w:rFonts w:ascii="Arial" w:cs="Arial" w:eastAsia="Arial" w:hAnsi="Arial"/>
          <w:color w:val="1F1E1E"/>
          <w:sz w:val="22"/>
          <w:szCs w:val="22"/>
        </w:rPr>
        <w:t xml:space="preserve"> `waterTotal = waterCapture + irrigationSaved`.</w:t>
      </w:r>
    </w:p>
    <w:p>
      <w:pPr>
        <w:keepNext/>
        <w:spacing w:after="120" w:before="240"/>
      </w:pPr>
      <w:r>
        <w:rPr>
          <w:rFonts w:ascii="Arial" w:cs="Arial" w:eastAsia="Arial" w:hAnsi="Arial"/>
          <w:b/>
          <w:bCs/>
          <w:color w:val="3B5937"/>
          <w:sz w:val="22"/>
          <w:szCs w:val="22"/>
        </w:rPr>
        <w:t xml:space="preserve">4.2 Heat Dimension</w:t>
      </w:r>
    </w:p>
    <w:p>
      <w:pPr>
        <w:spacing w:after="120" w:before="60" w:line="320"/>
        <w:jc w:val="both"/>
      </w:pPr>
      <w:r>
        <w:rPr>
          <w:rFonts w:ascii="Arial" w:cs="Arial" w:eastAsia="Arial" w:hAnsi="Arial"/>
          <w:color w:val="1F1E1E"/>
          <w:sz w:val="22"/>
          <w:szCs w:val="22"/>
        </w:rPr>
        <w:t xml:space="preserve">Estimates temperature reduction, energy savings, and cooling surface area from native plantings and tree canopy.</w:t>
      </w:r>
    </w:p>
    <w:p>
      <w:pPr>
        <w:pStyle w:val="ListParagraph"/>
        <w:numPr>
          <w:ilvl w:val="0"/>
          <w:numId w:val="2"/>
        </w:numPr>
        <w:spacing w:after="40" w:before="40" w:line="300"/>
      </w:pPr>
      <w:r>
        <w:rPr>
          <w:rFonts w:ascii="Arial" w:cs="Arial" w:eastAsia="Arial" w:hAnsi="Arial"/>
          <w:b/>
          <w:bCs/>
          <w:color w:val="1F1E1E"/>
          <w:sz w:val="22"/>
          <w:szCs w:val="22"/>
        </w:rPr>
        <w:t xml:space="preserve">Temperature Reduction:</w:t>
      </w:r>
      <w:r>
        <w:rPr>
          <w:rFonts w:ascii="Arial" w:cs="Arial" w:eastAsia="Arial" w:hAnsi="Arial"/>
          <w:color w:val="1F1E1E"/>
          <w:sz w:val="22"/>
          <w:szCs w:val="22"/>
        </w:rPr>
        <w:t xml:space="preserve"> `heatReduction = (sqft / 1000) × 3°F`. Approximation: ~3°F cooling per 1,000 sqft of native vegetation. Conservative mid-range estimate from urban heat island research. Source: EPA Urban Heat Island research; multiple studies documenting 7–9°F cooling from 40% canopy cover.</w:t>
      </w:r>
    </w:p>
    <w:p>
      <w:pPr>
        <w:pStyle w:val="ListParagraph"/>
        <w:numPr>
          <w:ilvl w:val="0"/>
          <w:numId w:val="2"/>
        </w:numPr>
        <w:spacing w:after="40" w:before="40" w:line="300"/>
      </w:pPr>
      <w:r>
        <w:rPr>
          <w:rFonts w:ascii="Arial" w:cs="Arial" w:eastAsia="Arial" w:hAnsi="Arial"/>
          <w:b/>
          <w:bCs/>
          <w:color w:val="1F1E1E"/>
          <w:sz w:val="22"/>
          <w:szCs w:val="22"/>
        </w:rPr>
        <w:t xml:space="preserve">Energy Savings:</w:t>
      </w:r>
      <w:r>
        <w:rPr>
          <w:rFonts w:ascii="Arial" w:cs="Arial" w:eastAsia="Arial" w:hAnsi="Arial"/>
          <w:color w:val="1F1E1E"/>
          <w:sz w:val="22"/>
          <w:szCs w:val="22"/>
        </w:rPr>
        <w:t xml:space="preserve"> `energySaved = treeCount × 650 kWh/yr`. Source: USDA Forest Service; estimated 650 kWh annual cooling savings per mature urban tree.</w:t>
      </w:r>
    </w:p>
    <w:p>
      <w:pPr>
        <w:keepNext/>
        <w:spacing w:after="120" w:before="240"/>
      </w:pPr>
      <w:r>
        <w:rPr>
          <w:rFonts w:ascii="Arial" w:cs="Arial" w:eastAsia="Arial" w:hAnsi="Arial"/>
          <w:b/>
          <w:bCs/>
          <w:color w:val="3B5937"/>
          <w:sz w:val="22"/>
          <w:szCs w:val="22"/>
        </w:rPr>
        <w:t xml:space="preserve">4.3 Carbon Dimension</w:t>
      </w:r>
    </w:p>
    <w:p>
      <w:pPr>
        <w:spacing w:after="120" w:before="60" w:line="320"/>
        <w:jc w:val="both"/>
      </w:pPr>
      <w:r>
        <w:rPr>
          <w:rFonts w:ascii="Arial" w:cs="Arial" w:eastAsia="Arial" w:hAnsi="Arial"/>
          <w:color w:val="1F1E1E"/>
          <w:sz w:val="22"/>
          <w:szCs w:val="22"/>
        </w:rPr>
        <w:t xml:space="preserve">Tracks carbon sequestered by plants and trees, plus emissions avoided by eliminating gas-powered lawn equipment.</w:t>
      </w:r>
    </w:p>
    <w:p>
      <w:pPr>
        <w:pStyle w:val="ListParagraph"/>
        <w:numPr>
          <w:ilvl w:val="0"/>
          <w:numId w:val="2"/>
        </w:numPr>
        <w:spacing w:after="40" w:before="40" w:line="300"/>
      </w:pPr>
      <w:r>
        <w:rPr>
          <w:rFonts w:ascii="Arial" w:cs="Arial" w:eastAsia="Arial" w:hAnsi="Arial"/>
          <w:b/>
          <w:bCs/>
          <w:color w:val="1F1E1E"/>
          <w:sz w:val="22"/>
          <w:szCs w:val="22"/>
        </w:rPr>
        <w:t xml:space="preserve">Carbon Sequestration:</w:t>
      </w:r>
      <w:r>
        <w:rPr>
          <w:rFonts w:ascii="Arial" w:cs="Arial" w:eastAsia="Arial" w:hAnsi="Arial"/>
          <w:color w:val="1F1E1E"/>
          <w:sz w:val="22"/>
          <w:szCs w:val="22"/>
        </w:rPr>
        <w:t xml:space="preserve"> `carbonSeq = (treeCount × zone.tree_co2_yr) + (sqft × zone.prairie_co2_sqft)`. Source: USDA Forest Service i-Tree Streets model (tree component); Tallgrass Prairie studies showing 0.25–0.35 lbs CO2/sqft/yr sequestration for grassland restoration.</w:t>
      </w:r>
    </w:p>
    <w:p>
      <w:pPr>
        <w:pStyle w:val="ListParagraph"/>
        <w:numPr>
          <w:ilvl w:val="0"/>
          <w:numId w:val="2"/>
        </w:numPr>
        <w:spacing w:after="40" w:before="40" w:line="300"/>
      </w:pPr>
      <w:r>
        <w:rPr>
          <w:rFonts w:ascii="Arial" w:cs="Arial" w:eastAsia="Arial" w:hAnsi="Arial"/>
          <w:b/>
          <w:bCs/>
          <w:color w:val="1F1E1E"/>
          <w:sz w:val="22"/>
          <w:szCs w:val="22"/>
        </w:rPr>
        <w:t xml:space="preserve">Emissions Avoided (Mowing Equipment):</w:t>
      </w:r>
      <w:r>
        <w:rPr>
          <w:rFonts w:ascii="Arial" w:cs="Arial" w:eastAsia="Arial" w:hAnsi="Arial"/>
          <w:color w:val="1F1E1E"/>
          <w:sz w:val="22"/>
          <w:szCs w:val="22"/>
        </w:rPr>
        <w:t xml:space="preserve"> `carbonAvoided = zone.mowing_sessions × (zone.blower_co2_g / 453.6)`. Source: EPA Small Engine Emissions Standards.</w:t>
      </w:r>
    </w:p>
    <w:p>
      <w:pPr>
        <w:spacing w:after="120" w:before="60" w:line="320"/>
        <w:jc w:val="both"/>
      </w:pPr>
      <w:r>
        <w:rPr>
          <w:rFonts w:ascii="Arial" w:cs="Arial" w:eastAsia="Arial" w:hAnsi="Arial"/>
          <w:color w:val="1F1E1E"/>
          <w:sz w:val="22"/>
          <w:szCs w:val="22"/>
        </w:rPr>
        <w:t xml:space="preserve">(Remaining dimensions — Noise, Biodiversity, Economic, Social, Provenance — documented in full at holonfoundation.org/methodology, with each formula traceable to the source files cited above and each external dataset archived per Policy No. 06.)</w:t>
      </w:r>
    </w:p>
    <w:p>
      <w:pPr>
        <w:keepNext/>
        <w:spacing w:after="160" w:before="360"/>
      </w:pPr>
      <w:r>
        <w:rPr>
          <w:rFonts w:ascii="Arial" w:cs="Arial" w:eastAsia="Arial" w:hAnsi="Arial"/>
          <w:b/>
          <w:bCs/>
          <w:color w:val="561217"/>
          <w:sz w:val="26"/>
          <w:szCs w:val="26"/>
        </w:rPr>
        <w:t xml:space="preserve">5. Materiality and Restatement</w:t>
      </w:r>
    </w:p>
    <w:p>
      <w:pPr>
        <w:spacing w:after="120" w:before="60" w:line="320"/>
        <w:jc w:val="both"/>
      </w:pPr>
      <w:r>
        <w:rPr>
          <w:rFonts w:ascii="Arial" w:cs="Arial" w:eastAsia="Arial" w:hAnsi="Arial"/>
          <w:color w:val="1F1E1E"/>
          <w:sz w:val="22"/>
          <w:szCs w:val="22"/>
        </w:rPr>
        <w:t xml:space="preserve">A discrepancy is "material" if it would cause a reasonable donor or grantmaker to view a previously published impact metric differently, and in any case if the metric was overstated by 20% or more, or the absolute overstatement exceeds 1,000 gallons of water, 1 metric ton of CO₂-equivalent, or one species. Material discrepancies trigger corrected disclosure in the next regularly scheduled publication, targeted donor notice, a one-page methodology amendment posted at holonfoundation.org/impact-methodology/changelog, and Board notification per Holon Foundation Policy No. 18 (Environmental Impact Reporting Standards).</w:t>
      </w:r>
    </w:p>
    <w:p>
      <w:pPr>
        <w:spacing w:after="120" w:before="60" w:line="320"/>
        <w:jc w:val="both"/>
      </w:pPr>
      <w:r>
        <w:rPr>
          <w:rFonts w:ascii="Arial" w:cs="Arial" w:eastAsia="Arial" w:hAnsi="Arial"/>
          <w:color w:val="1F1E1E"/>
          <w:sz w:val="22"/>
          <w:szCs w:val="22"/>
        </w:rPr>
        <w:t xml:space="preserve">Holon Foundation  •  Houston, Texas  •  info@holonfoundation.org</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24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24  ·  METRICS &amp; CALCULATIONS TRANSPARENCY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Metrics &amp; Calculations Transparency Report</dc:title>
  <dc:creator>Holon Foundation</dc:creator>
  <dc:description>Holon Foundation — Policy No. 24</dc:description>
  <cp:lastModifiedBy>Un-named</cp:lastModifiedBy>
  <cp:revision>1</cp:revision>
  <dcterms:created xsi:type="dcterms:W3CDTF">2026-05-21T02:41:42.863Z</dcterms:created>
  <dcterms:modified xsi:type="dcterms:W3CDTF">2026-05-21T02:41:42.863Z</dcterms:modified>
</cp:coreProperties>
</file>

<file path=docProps/custom.xml><?xml version="1.0" encoding="utf-8"?>
<Properties xmlns="http://schemas.openxmlformats.org/officeDocument/2006/custom-properties" xmlns:vt="http://schemas.openxmlformats.org/officeDocument/2006/docPropsVTypes"/>
</file>