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3B5937" w:sz="18" w:space="1"/>
        </w:pBdr>
        <w:spacing w:after="0" w:before="0"/>
      </w:pPr>
      <w:r>
        <w:rPr>
          <w:sz w:val="2"/>
          <w:szCs w:val="2"/>
        </w:rPr>
        <w:t xml:space="preserve"/>
      </w:r>
    </w:p>
    <w:p>
      <w:pPr>
        <w:spacing w:after="80" w:before="80"/>
      </w:pPr>
      <w:r>
        <w:t xml:space="preserve"/>
      </w:r>
    </w:p>
    <w:p>
      <w:pPr>
        <w:spacing w:after="0" w:before="120"/>
        <w:jc w:val="center"/>
      </w:pPr>
      <w:r>
        <w:rPr>
          <w:rFonts w:ascii="Arial" w:cs="Arial" w:eastAsia="Arial" w:hAnsi="Arial"/>
          <w:b/>
          <w:bCs/>
          <w:color w:val="561217"/>
          <w:spacing w:val="40"/>
          <w:sz w:val="16"/>
          <w:szCs w:val="16"/>
        </w:rPr>
        <w:t xml:space="preserve">HOLON FOUNDATION · GOVERNANCE POLICY</w:t>
      </w:r>
    </w:p>
    <w:p>
      <w:pPr>
        <w:spacing w:after="200" w:before="40"/>
        <w:jc w:val="center"/>
      </w:pPr>
      <w:r>
        <w:rPr>
          <w:rFonts w:ascii="Arial" w:cs="Arial" w:eastAsia="Arial" w:hAnsi="Arial"/>
          <w:b/>
          <w:bCs/>
          <w:color w:val="3B5937"/>
          <w:sz w:val="22"/>
          <w:szCs w:val="22"/>
        </w:rPr>
        <w:t xml:space="preserve">No. 23</w:t>
      </w:r>
    </w:p>
    <w:p>
      <w:pPr>
        <w:spacing w:after="120" w:before="120"/>
      </w:pPr>
      <w:r>
        <w:t xml:space="preserve"/>
      </w:r>
    </w:p>
    <w:tbl>
      <w:tblPr>
        <w:tblW w:type="dxa" w:w="2835"/>
        <w:jc w:val="center"/>
        <w:tblBorders>
          <w:top w:val="none" w:color="FFFFFF" w:sz="0"/>
          <w:left w:val="none" w:color="FFFFFF" w:sz="0"/>
          <w:bottom w:val="none" w:color="FFFFFF" w:sz="0"/>
          <w:right w:val="none" w:color="FFFFFF" w:sz="0"/>
          <w:insideH w:val="none" w:color="FFFFFF" w:sz="0"/>
          <w:insideV w:val="none" w:color="FFFFFF" w:sz="0"/>
        </w:tblBorders>
      </w:tblPr>
      <w:tblGrid>
        <w:gridCol w:w="567"/>
        <w:gridCol w:w="567"/>
        <w:gridCol w:w="567"/>
        <w:gridCol w:w="567"/>
        <w:gridCol w:w="567"/>
      </w:tblGrid>
      <w:tr>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61217"/>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CF3E81"/>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00C0E9"/>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FFC95B"/>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DC7A4"/>
                <w:sz w:val="28"/>
                <w:szCs w:val="28"/>
              </w:rPr>
              <w:t xml:space="preserve">●</w:t>
            </w:r>
          </w:p>
        </w:tc>
      </w:tr>
    </w:tbl>
    <w:p>
      <w:pPr>
        <w:spacing w:after="180" w:before="180"/>
      </w:pPr>
      <w:r>
        <w:t xml:space="preserve"/>
      </w:r>
    </w:p>
    <w:p>
      <w:pPr>
        <w:spacing w:after="80" w:before="0"/>
        <w:jc w:val="center"/>
      </w:pPr>
      <w:r>
        <w:rPr>
          <w:rFonts w:ascii="Arial" w:cs="Arial" w:eastAsia="Arial" w:hAnsi="Arial"/>
          <w:b/>
          <w:bCs/>
          <w:color w:val="1F1E1E"/>
          <w:sz w:val="44"/>
          <w:szCs w:val="44"/>
        </w:rPr>
        <w:t xml:space="preserve">Plant Exchange Compliance Policy</w:t>
      </w:r>
    </w:p>
    <w:p>
      <w:pPr>
        <w:spacing w:after="0" w:before="0"/>
        <w:jc w:val="center"/>
      </w:pPr>
      <w:r>
        <w:rPr>
          <w:rFonts w:ascii="Arial" w:cs="Arial" w:eastAsia="Arial" w:hAnsi="Arial"/>
          <w:i/>
          <w:iCs/>
          <w:color w:val="4A4A4A"/>
          <w:sz w:val="20"/>
          <w:szCs w:val="20"/>
        </w:rPr>
        <w:t xml:space="preserve">Holon Foundation — Policy No. 23</w:t>
      </w:r>
    </w:p>
    <w:p>
      <w:pPr>
        <w:spacing w:after="240" w:before="240"/>
      </w:pPr>
      <w:r>
        <w:t xml:space="preserve"/>
      </w:r>
    </w:p>
    <w:tbl>
      <w:tblPr>
        <w:tblW w:type="dxa" w:w="7200"/>
        <w:jc w:val="center"/>
        <w:tblBorders>
          <w:top w:val="none" w:color="FFFFFF" w:sz="0"/>
          <w:left w:val="none" w:color="FFFFFF" w:sz="0"/>
          <w:bottom w:val="none" w:color="FFFFFF" w:sz="0"/>
          <w:right w:val="none" w:color="FFFFFF" w:sz="0"/>
          <w:insideH w:val="none" w:color="FFFFFF" w:sz="0"/>
          <w:insideV w:val="none" w:color="FFFFFF" w:sz="0"/>
        </w:tblBorders>
      </w:tblPr>
      <w:tblGrid>
        <w:gridCol w:w="2400"/>
        <w:gridCol w:w="2400"/>
        <w:gridCol w:w="2400"/>
      </w:tblGrid>
      <w:tr>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EFFECTIVE DATE</w:t>
            </w:r>
          </w:p>
          <w:p>
            <w:pPr>
              <w:spacing w:after="0" w:before="0"/>
              <w:jc w:val="center"/>
            </w:pPr>
            <w:r>
              <w:rPr>
                <w:rFonts w:ascii="Arial" w:cs="Arial" w:eastAsia="Arial" w:hAnsi="Arial"/>
                <w:color w:val="1F1E1E"/>
                <w:sz w:val="20"/>
                <w:szCs w:val="20"/>
              </w:rPr>
              <w:t xml:space="preserve">[INSERT]</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VERSION</w:t>
            </w:r>
          </w:p>
          <w:p>
            <w:pPr>
              <w:spacing w:after="0" w:before="0"/>
              <w:jc w:val="center"/>
            </w:pPr>
            <w:r>
              <w:rPr>
                <w:rFonts w:ascii="Arial" w:cs="Arial" w:eastAsia="Arial" w:hAnsi="Arial"/>
                <w:color w:val="1F1E1E"/>
                <w:sz w:val="20"/>
                <w:szCs w:val="20"/>
              </w:rPr>
              <w:t xml:space="preserve">2.0</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JURISDICTION</w:t>
            </w:r>
          </w:p>
          <w:p>
            <w:pPr>
              <w:spacing w:after="0" w:before="0"/>
              <w:jc w:val="center"/>
            </w:pPr>
            <w:r>
              <w:rPr>
                <w:rFonts w:ascii="Arial" w:cs="Arial" w:eastAsia="Arial" w:hAnsi="Arial"/>
                <w:color w:val="1F1E1E"/>
                <w:sz w:val="20"/>
                <w:szCs w:val="20"/>
              </w:rPr>
              <w:t xml:space="preserve">Texas / US Federal</w:t>
            </w:r>
          </w:p>
        </w:tc>
      </w:tr>
    </w:tbl>
    <w:p>
      <w:pPr>
        <w:spacing w:after="120" w:before="120"/>
      </w:pPr>
      <w:r>
        <w:t xml:space="preserve"/>
      </w:r>
    </w:p>
    <w:p>
      <w:pPr>
        <w:spacing w:after="0" w:before="0" w:line="300"/>
        <w:ind w:left="720" w:right="720"/>
        <w:jc w:val="center"/>
      </w:pPr>
      <w:r>
        <w:rPr>
          <w:rFonts w:ascii="Arial" w:cs="Arial" w:eastAsia="Arial" w:hAnsi="Arial"/>
          <w:i/>
          <w:iCs/>
          <w:color w:val="4A4A4A"/>
          <w:sz w:val="18"/>
          <w:szCs w:val="18"/>
        </w:rPr>
        <w:t xml:space="preserve">Adopted by the Board of Directors of Holon Foundation by Resolution No. [INSERT] on [INSERT DATE]. Scheduled for review no later than three (3) years from the effective date, or sooner upon material change in applicable law or organizational structure. Maintained by the Secretary of the Board.</w:t>
      </w:r>
    </w:p>
    <w:p>
      <w:pPr>
        <w:spacing w:after="240" w:before="240"/>
      </w:pPr>
      <w:r>
        <w:t xml:space="preserve"/>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spacing w:after="80" w:before="80"/>
      </w:pPr>
      <w:r>
        <w:t xml:space="preserve"/>
      </w:r>
    </w:p>
    <w:p>
      <w:pPr>
        <w:spacing w:after="0" w:before="200"/>
        <w:jc w:val="center"/>
      </w:pPr>
      <w:r>
        <w:rPr>
          <w:rFonts w:ascii="Arial" w:cs="Arial" w:eastAsia="Arial" w:hAnsi="Arial"/>
          <w:color w:val="4A4A4A"/>
          <w:sz w:val="16"/>
          <w:szCs w:val="16"/>
        </w:rPr>
        <w:t xml:space="preserve">Holon Foundation  ·  </w:t>
      </w:r>
      <w:r>
        <w:rPr>
          <w:rFonts w:ascii="Arial" w:cs="Arial" w:eastAsia="Arial" w:hAnsi="Arial"/>
          <w:i/>
          <w:iCs/>
          <w:color w:val="4A4A4A"/>
          <w:sz w:val="16"/>
          <w:szCs w:val="16"/>
        </w:rPr>
        <w:t xml:space="preserve">dba Holon Gardens</w:t>
      </w:r>
      <w:r>
        <w:rPr>
          <w:rFonts w:ascii="Arial" w:cs="Arial" w:eastAsia="Arial" w:hAnsi="Arial"/>
          <w:color w:val="4A4A4A"/>
          <w:sz w:val="16"/>
          <w:szCs w:val="16"/>
        </w:rPr>
        <w:t xml:space="preserve">  ·  EIN 99-0563228  ·  </w:t>
      </w:r>
      <w:r>
        <w:rPr>
          <w:rFonts w:ascii="Arial" w:cs="Arial" w:eastAsia="Arial" w:hAnsi="Arial"/>
          <w:color w:val="561217"/>
          <w:sz w:val="16"/>
          <w:szCs w:val="16"/>
        </w:rPr>
        <w:t xml:space="preserve">holonfoundation.org</w:t>
      </w:r>
    </w:p>
    <w:p>
      <w:pPr>
        <w:pageBreakBefore/>
      </w:pPr>
      <w:r>
        <w:t xml:space="preserve"/>
      </w:r>
    </w:p>
    <w:p>
      <w:pPr>
        <w:keepNext/>
        <w:spacing w:after="120" w:before="240"/>
      </w:pPr>
      <w:r>
        <w:rPr>
          <w:rFonts w:ascii="Arial" w:cs="Arial" w:eastAsia="Arial" w:hAnsi="Arial"/>
          <w:b/>
          <w:bCs/>
          <w:color w:val="3B5937"/>
          <w:sz w:val="22"/>
          <w:szCs w:val="22"/>
        </w:rPr>
        <w:t xml:space="preserve">Summary of Revisions</w:t>
      </w:r>
    </w:p>
    <w:p>
      <w:pPr>
        <w:pStyle w:val="ListParagraph"/>
        <w:numPr>
          <w:ilvl w:val="0"/>
          <w:numId w:val="2"/>
        </w:numPr>
        <w:spacing w:after="40" w:before="40" w:line="300"/>
      </w:pPr>
      <w:r>
        <w:rPr>
          <w:rFonts w:ascii="Arial" w:cs="Arial" w:eastAsia="Arial" w:hAnsi="Arial"/>
          <w:color w:val="1F1E1E"/>
          <w:sz w:val="22"/>
          <w:szCs w:val="22"/>
        </w:rPr>
        <w:t xml:space="preserve">Renamed the policy and the platform from "Nursery Network Marketplace" / "Distributed Nursery" to </w:t>
      </w:r>
      <w:r>
        <w:rPr>
          <w:rFonts w:ascii="Arial" w:cs="Arial" w:eastAsia="Arial" w:hAnsi="Arial"/>
          <w:b/>
          <w:bCs/>
          <w:color w:val="1F1E1E"/>
          <w:sz w:val="22"/>
          <w:szCs w:val="22"/>
        </w:rPr>
        <w:t xml:space="preserve">Plant Exchange</w:t>
      </w:r>
      <w:r>
        <w:rPr>
          <w:rFonts w:ascii="Arial" w:cs="Arial" w:eastAsia="Arial" w:hAnsi="Arial"/>
          <w:color w:val="1F1E1E"/>
          <w:sz w:val="22"/>
          <w:szCs w:val="22"/>
        </w:rPr>
        <w:t xml:space="preserve">, aligning this Policy with the Foundation's adopted portal posture (ADR-077). Legacy terms are retained at first mention for legal continuity.</w:t>
      </w:r>
    </w:p>
    <w:p>
      <w:pPr>
        <w:pStyle w:val="ListParagraph"/>
        <w:numPr>
          <w:ilvl w:val="0"/>
          <w:numId w:val="2"/>
        </w:numPr>
        <w:spacing w:after="40" w:before="40" w:line="300"/>
      </w:pPr>
      <w:r>
        <w:rPr>
          <w:rFonts w:ascii="Arial" w:cs="Arial" w:eastAsia="Arial" w:hAnsi="Arial"/>
          <w:color w:val="1F1E1E"/>
          <w:sz w:val="22"/>
          <w:szCs w:val="22"/>
        </w:rPr>
        <w:t xml:space="preserve">Added UBIT Posture section structuring Plant Exchange activity as substantially related to the conservation mission under IRC § 511 / § 513, with Form 990-T reporting commitment for any future unrelated income.</w:t>
      </w:r>
    </w:p>
    <w:p>
      <w:pPr>
        <w:pStyle w:val="ListParagraph"/>
        <w:numPr>
          <w:ilvl w:val="0"/>
          <w:numId w:val="2"/>
        </w:numPr>
        <w:spacing w:after="40" w:before="40" w:line="300"/>
      </w:pPr>
      <w:r>
        <w:rPr>
          <w:rFonts w:ascii="Arial" w:cs="Arial" w:eastAsia="Arial" w:hAnsi="Arial"/>
          <w:color w:val="1F1E1E"/>
          <w:sz w:val="22"/>
          <w:szCs w:val="22"/>
        </w:rPr>
        <w:t xml:space="preserve">Added Platform Status section invoking 47 U.S.C. § 230 interactive-computer-service immunity for user-generated listings.</w:t>
      </w:r>
    </w:p>
    <w:p>
      <w:pPr>
        <w:pStyle w:val="ListParagraph"/>
        <w:numPr>
          <w:ilvl w:val="0"/>
          <w:numId w:val="2"/>
        </w:numPr>
        <w:spacing w:after="40" w:before="40" w:line="300"/>
      </w:pPr>
      <w:r>
        <w:rPr>
          <w:rFonts w:ascii="Arial" w:cs="Arial" w:eastAsia="Arial" w:hAnsi="Arial"/>
          <w:color w:val="1F1E1E"/>
          <w:sz w:val="22"/>
          <w:szCs w:val="22"/>
        </w:rPr>
        <w:t xml:space="preserve">Expanded Texas Nursery / Floral License section with seller threshold under Texas Agriculture Code Ch. 71 and 4 TAC Ch. 21. The legal term "Nursery/Floral License" remains the TDA-issued credential name and is preserved verbatim.</w:t>
      </w:r>
    </w:p>
    <w:p>
      <w:pPr>
        <w:pStyle w:val="ListParagraph"/>
        <w:numPr>
          <w:ilvl w:val="0"/>
          <w:numId w:val="2"/>
        </w:numPr>
        <w:spacing w:after="40" w:before="40" w:line="300"/>
      </w:pPr>
      <w:r>
        <w:rPr>
          <w:rFonts w:ascii="Arial" w:cs="Arial" w:eastAsia="Arial" w:hAnsi="Arial"/>
          <w:color w:val="1F1E1E"/>
          <w:sz w:val="22"/>
          <w:szCs w:val="22"/>
        </w:rPr>
        <w:t xml:space="preserve">Harmonized Reporting Process with Holon Foundation Policy No. 21 (Garden Reporting &amp; Trust Integrity), eliminating duplicative rate-limit / due-process drift.</w:t>
      </w:r>
    </w:p>
    <w:p>
      <w:pPr>
        <w:pStyle w:val="ListParagraph"/>
        <w:numPr>
          <w:ilvl w:val="0"/>
          <w:numId w:val="2"/>
        </w:numPr>
        <w:spacing w:after="40" w:before="40" w:line="300"/>
      </w:pPr>
      <w:r>
        <w:rPr>
          <w:rFonts w:ascii="Arial" w:cs="Arial" w:eastAsia="Arial" w:hAnsi="Arial"/>
          <w:color w:val="1F1E1E"/>
          <w:sz w:val="22"/>
          <w:szCs w:val="22"/>
        </w:rPr>
        <w:t xml:space="preserve">Added Shipping and Risk of Loss section invoking the FTC Mail Order Rule (16 C.F.R. Part 435) and Texas UCC Article 2.</w:t>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keepNext/>
        <w:spacing w:after="160" w:before="360"/>
      </w:pPr>
      <w:r>
        <w:rPr>
          <w:rFonts w:ascii="Arial" w:cs="Arial" w:eastAsia="Arial" w:hAnsi="Arial"/>
          <w:b/>
          <w:bCs/>
          <w:color w:val="561217"/>
          <w:sz w:val="26"/>
          <w:szCs w:val="26"/>
        </w:rPr>
        <w:t xml:space="preserve">1. Purpose and Scope</w:t>
      </w:r>
    </w:p>
    <w:p>
      <w:pPr>
        <w:spacing w:after="120" w:before="60" w:line="320"/>
        <w:jc w:val="both"/>
      </w:pPr>
      <w:r>
        <w:rPr>
          <w:rFonts w:ascii="Arial" w:cs="Arial" w:eastAsia="Arial" w:hAnsi="Arial"/>
          <w:color w:val="1F1E1E"/>
          <w:sz w:val="22"/>
          <w:szCs w:val="22"/>
        </w:rPr>
        <w:t xml:space="preserve">This policy establishes the standards and guidelines governing the </w:t>
      </w:r>
      <w:r>
        <w:rPr>
          <w:rFonts w:ascii="Arial" w:cs="Arial" w:eastAsia="Arial" w:hAnsi="Arial"/>
          <w:b/>
          <w:bCs/>
          <w:color w:val="1F1E1E"/>
          <w:sz w:val="22"/>
          <w:szCs w:val="22"/>
        </w:rPr>
        <w:t xml:space="preserve">Plant Exchange</w:t>
      </w:r>
      <w:r>
        <w:rPr>
          <w:rFonts w:ascii="Arial" w:cs="Arial" w:eastAsia="Arial" w:hAnsi="Arial"/>
          <w:color w:val="1F1E1E"/>
          <w:sz w:val="22"/>
          <w:szCs w:val="22"/>
        </w:rPr>
        <w:t xml:space="preserve"> (previously known as the "Nursery Network Marketplace" and the "Distributed Nursery") operated by the Holon Foundation through the Holon Gardens Trust Portal. It applies to all users who create, manage, or interact with Plant Exchange listings, including plants, seeds, cuttings, tools, soil amendments, and related garden materials.</w:t>
      </w:r>
    </w:p>
    <w:p>
      <w:pPr>
        <w:spacing w:after="120" w:before="60" w:line="320"/>
        <w:jc w:val="both"/>
      </w:pPr>
      <w:r>
        <w:rPr>
          <w:rFonts w:ascii="Arial" w:cs="Arial" w:eastAsia="Arial" w:hAnsi="Arial"/>
          <w:color w:val="1F1E1E"/>
          <w:sz w:val="22"/>
          <w:szCs w:val="22"/>
        </w:rPr>
        <w:t xml:space="preserve">The Plant Exchange serves as a community resource for sharing, trading, and selling garden materials in support of ecological stewardship, native plant conservation, and community resilience. This policy ensures listings are lawful, accurate, and aligned with the Foundation's mission.</w:t>
      </w:r>
    </w:p>
    <w:p>
      <w:pPr>
        <w:keepNext/>
        <w:spacing w:after="160" w:before="360"/>
      </w:pPr>
      <w:r>
        <w:rPr>
          <w:rFonts w:ascii="Arial" w:cs="Arial" w:eastAsia="Arial" w:hAnsi="Arial"/>
          <w:b/>
          <w:bCs/>
          <w:color w:val="561217"/>
          <w:sz w:val="26"/>
          <w:szCs w:val="26"/>
        </w:rPr>
        <w:t xml:space="preserve">2. Platform Status</w:t>
      </w:r>
    </w:p>
    <w:p>
      <w:pPr>
        <w:spacing w:after="120" w:before="60" w:line="320"/>
        <w:jc w:val="both"/>
      </w:pPr>
      <w:r>
        <w:rPr>
          <w:rFonts w:ascii="Arial" w:cs="Arial" w:eastAsia="Arial" w:hAnsi="Arial"/>
          <w:color w:val="1F1E1E"/>
          <w:sz w:val="22"/>
          <w:szCs w:val="22"/>
        </w:rPr>
        <w:t xml:space="preserve">The Foundation operates the Plant Exchange as an interactive computer service for purposes of 47 U.S.C. § 230. Listings, photographs, descriptions, and seller representations are content provided by third-party users, not the Foundation. The Foundation reserves the right to moderate, remove, or refuse to publish content per this Policy without becoming a publisher of third-party content. The Foundation does not warrant the accuracy, legality, or quality of items listed by third parties. Buyers and sellers contract directly with each other; the Foundation is not a party to those transactions.</w:t>
      </w:r>
    </w:p>
    <w:p>
      <w:pPr>
        <w:keepNext/>
        <w:spacing w:after="160" w:before="360"/>
      </w:pPr>
      <w:r>
        <w:rPr>
          <w:rFonts w:ascii="Arial" w:cs="Arial" w:eastAsia="Arial" w:hAnsi="Arial"/>
          <w:b/>
          <w:bCs/>
          <w:color w:val="561217"/>
          <w:sz w:val="26"/>
          <w:szCs w:val="26"/>
        </w:rPr>
        <w:t xml:space="preserve">3. Prohibited Items and Activities</w:t>
      </w:r>
    </w:p>
    <w:p>
      <w:pPr>
        <w:spacing w:after="120" w:before="60" w:line="320"/>
        <w:jc w:val="both"/>
      </w:pPr>
      <w:r>
        <w:rPr>
          <w:rFonts w:ascii="Arial" w:cs="Arial" w:eastAsia="Arial" w:hAnsi="Arial"/>
          <w:color w:val="1F1E1E"/>
          <w:sz w:val="22"/>
          <w:szCs w:val="22"/>
        </w:rPr>
        <w:t xml:space="preserve">The following items and activities are strictly prohibited on the Plant Exchange:</w:t>
      </w:r>
    </w:p>
    <w:p>
      <w:pPr>
        <w:keepNext/>
        <w:spacing w:after="120" w:before="240"/>
      </w:pPr>
      <w:r>
        <w:rPr>
          <w:rFonts w:ascii="Arial" w:cs="Arial" w:eastAsia="Arial" w:hAnsi="Arial"/>
          <w:b/>
          <w:bCs/>
          <w:color w:val="3B5937"/>
          <w:sz w:val="22"/>
          <w:szCs w:val="22"/>
        </w:rPr>
        <w:t xml:space="preserve">3.1 Prohibited Plant Materials</w:t>
      </w:r>
    </w:p>
    <w:p>
      <w:pPr>
        <w:pStyle w:val="ListParagraph"/>
        <w:numPr>
          <w:ilvl w:val="0"/>
          <w:numId w:val="2"/>
        </w:numPr>
        <w:spacing w:after="40" w:before="40" w:line="300"/>
      </w:pPr>
      <w:r>
        <w:rPr>
          <w:rFonts w:ascii="Arial" w:cs="Arial" w:eastAsia="Arial" w:hAnsi="Arial"/>
          <w:color w:val="1F1E1E"/>
          <w:sz w:val="22"/>
          <w:szCs w:val="22"/>
        </w:rPr>
        <w:t xml:space="preserve">Federally listed noxious weeds as designated by the USDA Animal and Plant Health Inspection Service (APHIS)</w:t>
      </w:r>
    </w:p>
    <w:p>
      <w:pPr>
        <w:pStyle w:val="ListParagraph"/>
        <w:numPr>
          <w:ilvl w:val="0"/>
          <w:numId w:val="2"/>
        </w:numPr>
        <w:spacing w:after="40" w:before="40" w:line="300"/>
      </w:pPr>
      <w:r>
        <w:rPr>
          <w:rFonts w:ascii="Arial" w:cs="Arial" w:eastAsia="Arial" w:hAnsi="Arial"/>
          <w:color w:val="1F1E1E"/>
          <w:sz w:val="22"/>
          <w:szCs w:val="22"/>
        </w:rPr>
        <w:t xml:space="preserve">State-listed noxious or invasive species as determined by the Texas Department of Agriculture or equivalent authority in the seller's jurisdiction</w:t>
      </w:r>
    </w:p>
    <w:p>
      <w:pPr>
        <w:pStyle w:val="ListParagraph"/>
        <w:numPr>
          <w:ilvl w:val="0"/>
          <w:numId w:val="2"/>
        </w:numPr>
        <w:spacing w:after="40" w:before="40" w:line="300"/>
      </w:pPr>
      <w:r>
        <w:rPr>
          <w:rFonts w:ascii="Arial" w:cs="Arial" w:eastAsia="Arial" w:hAnsi="Arial"/>
          <w:color w:val="1F1E1E"/>
          <w:sz w:val="22"/>
          <w:szCs w:val="22"/>
        </w:rPr>
        <w:t xml:space="preserve">Plants listed under the Convention on International Trade in Endangered Species (CITES) without proper documentation and permits</w:t>
      </w:r>
    </w:p>
    <w:p>
      <w:pPr>
        <w:pStyle w:val="ListParagraph"/>
        <w:numPr>
          <w:ilvl w:val="0"/>
          <w:numId w:val="2"/>
        </w:numPr>
        <w:spacing w:after="40" w:before="40" w:line="300"/>
      </w:pPr>
      <w:r>
        <w:rPr>
          <w:rFonts w:ascii="Arial" w:cs="Arial" w:eastAsia="Arial" w:hAnsi="Arial"/>
          <w:color w:val="1F1E1E"/>
          <w:sz w:val="22"/>
          <w:szCs w:val="22"/>
        </w:rPr>
        <w:t xml:space="preserve">State or federally protected endangered or threatened plant species collected from wild populations</w:t>
      </w:r>
    </w:p>
    <w:p>
      <w:pPr>
        <w:pStyle w:val="ListParagraph"/>
        <w:numPr>
          <w:ilvl w:val="0"/>
          <w:numId w:val="2"/>
        </w:numPr>
        <w:spacing w:after="40" w:before="40" w:line="300"/>
      </w:pPr>
      <w:r>
        <w:rPr>
          <w:rFonts w:ascii="Arial" w:cs="Arial" w:eastAsia="Arial" w:hAnsi="Arial"/>
          <w:color w:val="1F1E1E"/>
          <w:sz w:val="22"/>
          <w:szCs w:val="22"/>
        </w:rPr>
        <w:t xml:space="preserve">Any plant material known to harbor quarantine pests or diseases as designated by APHIS</w:t>
      </w:r>
    </w:p>
    <w:p>
      <w:pPr>
        <w:keepNext/>
        <w:spacing w:after="120" w:before="240"/>
      </w:pPr>
      <w:r>
        <w:rPr>
          <w:rFonts w:ascii="Arial" w:cs="Arial" w:eastAsia="Arial" w:hAnsi="Arial"/>
          <w:b/>
          <w:bCs/>
          <w:color w:val="3B5937"/>
          <w:sz w:val="22"/>
          <w:szCs w:val="22"/>
        </w:rPr>
        <w:t xml:space="preserve">3.2 Controlled and Illegal Substances</w:t>
      </w:r>
    </w:p>
    <w:p>
      <w:pPr>
        <w:pStyle w:val="ListParagraph"/>
        <w:numPr>
          <w:ilvl w:val="0"/>
          <w:numId w:val="2"/>
        </w:numPr>
        <w:spacing w:after="40" w:before="40" w:line="300"/>
      </w:pPr>
      <w:r>
        <w:rPr>
          <w:rFonts w:ascii="Arial" w:cs="Arial" w:eastAsia="Arial" w:hAnsi="Arial"/>
          <w:color w:val="1F1E1E"/>
          <w:sz w:val="22"/>
          <w:szCs w:val="22"/>
        </w:rPr>
        <w:t xml:space="preserve">Cannabis plants, seeds, clones, or any derived products, regardless of local or state legality</w:t>
      </w:r>
    </w:p>
    <w:p>
      <w:pPr>
        <w:pStyle w:val="ListParagraph"/>
        <w:numPr>
          <w:ilvl w:val="0"/>
          <w:numId w:val="2"/>
        </w:numPr>
        <w:spacing w:after="40" w:before="40" w:line="300"/>
      </w:pPr>
      <w:r>
        <w:rPr>
          <w:rFonts w:ascii="Arial" w:cs="Arial" w:eastAsia="Arial" w:hAnsi="Arial"/>
          <w:color w:val="1F1E1E"/>
          <w:sz w:val="22"/>
          <w:szCs w:val="22"/>
        </w:rPr>
        <w:t xml:space="preserve">Psilocybin-containing fungi or spore prints marketed for cultivation</w:t>
      </w:r>
    </w:p>
    <w:p>
      <w:pPr>
        <w:pStyle w:val="ListParagraph"/>
        <w:numPr>
          <w:ilvl w:val="0"/>
          <w:numId w:val="2"/>
        </w:numPr>
        <w:spacing w:after="40" w:before="40" w:line="300"/>
      </w:pPr>
      <w:r>
        <w:rPr>
          <w:rFonts w:ascii="Arial" w:cs="Arial" w:eastAsia="Arial" w:hAnsi="Arial"/>
          <w:color w:val="1F1E1E"/>
          <w:sz w:val="22"/>
          <w:szCs w:val="22"/>
        </w:rPr>
        <w:t xml:space="preserve">Coca, opium poppy (Papaver somniferum) marketed for alkaloid production, or other DEA-scheduled plant materials</w:t>
      </w:r>
    </w:p>
    <w:p>
      <w:pPr>
        <w:pStyle w:val="ListParagraph"/>
        <w:numPr>
          <w:ilvl w:val="0"/>
          <w:numId w:val="2"/>
        </w:numPr>
        <w:spacing w:after="40" w:before="40" w:line="300"/>
      </w:pPr>
      <w:r>
        <w:rPr>
          <w:rFonts w:ascii="Arial" w:cs="Arial" w:eastAsia="Arial" w:hAnsi="Arial"/>
          <w:color w:val="1F1E1E"/>
          <w:sz w:val="22"/>
          <w:szCs w:val="22"/>
        </w:rPr>
        <w:t xml:space="preserve">Any plant material marketed or described in terms suggesting use as an intoxicant or controlled substance</w:t>
      </w:r>
    </w:p>
    <w:p>
      <w:pPr>
        <w:keepNext/>
        <w:spacing w:after="120" w:before="240"/>
      </w:pPr>
      <w:r>
        <w:rPr>
          <w:rFonts w:ascii="Arial" w:cs="Arial" w:eastAsia="Arial" w:hAnsi="Arial"/>
          <w:b/>
          <w:bCs/>
          <w:color w:val="3B5937"/>
          <w:sz w:val="22"/>
          <w:szCs w:val="22"/>
        </w:rPr>
        <w:t xml:space="preserve">3.3 Hazardous Materials</w:t>
      </w:r>
    </w:p>
    <w:p>
      <w:pPr>
        <w:pStyle w:val="ListParagraph"/>
        <w:numPr>
          <w:ilvl w:val="0"/>
          <w:numId w:val="2"/>
        </w:numPr>
        <w:spacing w:after="40" w:before="40" w:line="300"/>
      </w:pPr>
      <w:r>
        <w:rPr>
          <w:rFonts w:ascii="Arial" w:cs="Arial" w:eastAsia="Arial" w:hAnsi="Arial"/>
          <w:color w:val="1F1E1E"/>
          <w:sz w:val="22"/>
          <w:szCs w:val="22"/>
        </w:rPr>
        <w:t xml:space="preserve">Pesticides, herbicides, or fungicides not registered for residential use by the EPA</w:t>
      </w:r>
    </w:p>
    <w:p>
      <w:pPr>
        <w:pStyle w:val="ListParagraph"/>
        <w:numPr>
          <w:ilvl w:val="0"/>
          <w:numId w:val="2"/>
        </w:numPr>
        <w:spacing w:after="40" w:before="40" w:line="300"/>
      </w:pPr>
      <w:r>
        <w:rPr>
          <w:rFonts w:ascii="Arial" w:cs="Arial" w:eastAsia="Arial" w:hAnsi="Arial"/>
          <w:color w:val="1F1E1E"/>
          <w:sz w:val="22"/>
          <w:szCs w:val="22"/>
        </w:rPr>
        <w:t xml:space="preserve">Restricted-use pesticides requiring applicator certification</w:t>
      </w:r>
    </w:p>
    <w:p>
      <w:pPr>
        <w:pStyle w:val="ListParagraph"/>
        <w:numPr>
          <w:ilvl w:val="0"/>
          <w:numId w:val="2"/>
        </w:numPr>
        <w:spacing w:after="40" w:before="40" w:line="300"/>
      </w:pPr>
      <w:r>
        <w:rPr>
          <w:rFonts w:ascii="Arial" w:cs="Arial" w:eastAsia="Arial" w:hAnsi="Arial"/>
          <w:color w:val="1F1E1E"/>
          <w:sz w:val="22"/>
          <w:szCs w:val="22"/>
        </w:rPr>
        <w:t xml:space="preserve">Chemical fertilizers exceeding DOT hazardous materials thresholds</w:t>
      </w:r>
    </w:p>
    <w:p>
      <w:pPr>
        <w:pStyle w:val="ListParagraph"/>
        <w:numPr>
          <w:ilvl w:val="0"/>
          <w:numId w:val="2"/>
        </w:numPr>
        <w:spacing w:after="40" w:before="40" w:line="300"/>
      </w:pPr>
      <w:r>
        <w:rPr>
          <w:rFonts w:ascii="Arial" w:cs="Arial" w:eastAsia="Arial" w:hAnsi="Arial"/>
          <w:color w:val="1F1E1E"/>
          <w:sz w:val="22"/>
          <w:szCs w:val="22"/>
        </w:rPr>
        <w:t xml:space="preserve">Soil or amendments contaminated with heavy metals, petroleum products, or other pollutants</w:t>
      </w:r>
    </w:p>
    <w:p>
      <w:pPr>
        <w:keepNext/>
        <w:spacing w:after="120" w:before="240"/>
      </w:pPr>
      <w:r>
        <w:rPr>
          <w:rFonts w:ascii="Arial" w:cs="Arial" w:eastAsia="Arial" w:hAnsi="Arial"/>
          <w:b/>
          <w:bCs/>
          <w:color w:val="3B5937"/>
          <w:sz w:val="22"/>
          <w:szCs w:val="22"/>
        </w:rPr>
        <w:t xml:space="preserve">3.4 Other Prohibited Items</w:t>
      </w:r>
    </w:p>
    <w:p>
      <w:pPr>
        <w:pStyle w:val="ListParagraph"/>
        <w:numPr>
          <w:ilvl w:val="0"/>
          <w:numId w:val="2"/>
        </w:numPr>
        <w:spacing w:after="40" w:before="40" w:line="300"/>
      </w:pPr>
      <w:r>
        <w:rPr>
          <w:rFonts w:ascii="Arial" w:cs="Arial" w:eastAsia="Arial" w:hAnsi="Arial"/>
          <w:color w:val="1F1E1E"/>
          <w:sz w:val="22"/>
          <w:szCs w:val="22"/>
        </w:rPr>
        <w:t xml:space="preserve">Counterfeit, stolen, or misrepresented products of any kind</w:t>
      </w:r>
    </w:p>
    <w:p>
      <w:pPr>
        <w:pStyle w:val="ListParagraph"/>
        <w:numPr>
          <w:ilvl w:val="0"/>
          <w:numId w:val="2"/>
        </w:numPr>
        <w:spacing w:after="40" w:before="40" w:line="300"/>
      </w:pPr>
      <w:r>
        <w:rPr>
          <w:rFonts w:ascii="Arial" w:cs="Arial" w:eastAsia="Arial" w:hAnsi="Arial"/>
          <w:color w:val="1F1E1E"/>
          <w:sz w:val="22"/>
          <w:szCs w:val="22"/>
        </w:rPr>
        <w:t xml:space="preserve">Items that violate homeowner association (HOA) covenants applicable to the seller's property</w:t>
      </w:r>
    </w:p>
    <w:p>
      <w:pPr>
        <w:pStyle w:val="ListParagraph"/>
        <w:numPr>
          <w:ilvl w:val="0"/>
          <w:numId w:val="2"/>
        </w:numPr>
        <w:spacing w:after="40" w:before="40" w:line="300"/>
      </w:pPr>
      <w:r>
        <w:rPr>
          <w:rFonts w:ascii="Arial" w:cs="Arial" w:eastAsia="Arial" w:hAnsi="Arial"/>
          <w:color w:val="1F1E1E"/>
          <w:sz w:val="22"/>
          <w:szCs w:val="22"/>
        </w:rPr>
        <w:t xml:space="preserve">Items that violate municipal, county, or city ordinances in either the seller's or buyer's jurisdiction</w:t>
      </w:r>
    </w:p>
    <w:p>
      <w:pPr>
        <w:pStyle w:val="ListParagraph"/>
        <w:numPr>
          <w:ilvl w:val="0"/>
          <w:numId w:val="2"/>
        </w:numPr>
        <w:spacing w:after="40" w:before="40" w:line="300"/>
      </w:pPr>
      <w:r>
        <w:rPr>
          <w:rFonts w:ascii="Arial" w:cs="Arial" w:eastAsia="Arial" w:hAnsi="Arial"/>
          <w:color w:val="1F1E1E"/>
          <w:sz w:val="22"/>
          <w:szCs w:val="22"/>
        </w:rPr>
        <w:t xml:space="preserve">Living animals, animal products, or veterinary supplies</w:t>
      </w:r>
    </w:p>
    <w:p>
      <w:pPr>
        <w:pStyle w:val="ListParagraph"/>
        <w:numPr>
          <w:ilvl w:val="0"/>
          <w:numId w:val="2"/>
        </w:numPr>
        <w:spacing w:after="40" w:before="40" w:line="300"/>
      </w:pPr>
      <w:r>
        <w:rPr>
          <w:rFonts w:ascii="Arial" w:cs="Arial" w:eastAsia="Arial" w:hAnsi="Arial"/>
          <w:color w:val="1F1E1E"/>
          <w:sz w:val="22"/>
          <w:szCs w:val="22"/>
        </w:rPr>
        <w:t xml:space="preserve">Non-garden-related items (electronics, clothing, vehicles, etc.)</w:t>
      </w:r>
    </w:p>
    <w:p>
      <w:pPr>
        <w:keepNext/>
        <w:spacing w:after="160" w:before="360"/>
      </w:pPr>
      <w:r>
        <w:rPr>
          <w:rFonts w:ascii="Arial" w:cs="Arial" w:eastAsia="Arial" w:hAnsi="Arial"/>
          <w:b/>
          <w:bCs/>
          <w:color w:val="561217"/>
          <w:sz w:val="26"/>
          <w:szCs w:val="26"/>
        </w:rPr>
        <w:t xml:space="preserve">4. Listing Accuracy and Integrity</w:t>
      </w:r>
    </w:p>
    <w:p>
      <w:pPr>
        <w:keepNext/>
        <w:spacing w:after="120" w:before="240"/>
      </w:pPr>
      <w:r>
        <w:rPr>
          <w:rFonts w:ascii="Arial" w:cs="Arial" w:eastAsia="Arial" w:hAnsi="Arial"/>
          <w:b/>
          <w:bCs/>
          <w:color w:val="3B5937"/>
          <w:sz w:val="22"/>
          <w:szCs w:val="22"/>
        </w:rPr>
        <w:t xml:space="preserve">4.1 Required Truthfulness</w:t>
      </w:r>
    </w:p>
    <w:p>
      <w:pPr>
        <w:spacing w:after="120" w:before="60" w:line="320"/>
        <w:jc w:val="both"/>
      </w:pPr>
      <w:r>
        <w:rPr>
          <w:rFonts w:ascii="Arial" w:cs="Arial" w:eastAsia="Arial" w:hAnsi="Arial"/>
          <w:color w:val="1F1E1E"/>
          <w:sz w:val="22"/>
          <w:szCs w:val="22"/>
        </w:rPr>
        <w:t xml:space="preserve">All listings must accurately represent the item being offered. Specifically:</w:t>
      </w:r>
    </w:p>
    <w:p>
      <w:pPr>
        <w:pStyle w:val="ListParagraph"/>
        <w:numPr>
          <w:ilvl w:val="0"/>
          <w:numId w:val="2"/>
        </w:numPr>
        <w:spacing w:after="40" w:before="40" w:line="300"/>
      </w:pPr>
      <w:r>
        <w:rPr>
          <w:rFonts w:ascii="Arial" w:cs="Arial" w:eastAsia="Arial" w:hAnsi="Arial"/>
          <w:color w:val="1F1E1E"/>
          <w:sz w:val="22"/>
          <w:szCs w:val="22"/>
        </w:rPr>
        <w:t xml:space="preserve">Species identification must be correct to the best of the seller's knowledge. Uncertain identifications should be clearly marked as approximate.</w:t>
      </w:r>
    </w:p>
    <w:p>
      <w:pPr>
        <w:pStyle w:val="ListParagraph"/>
        <w:numPr>
          <w:ilvl w:val="0"/>
          <w:numId w:val="2"/>
        </w:numPr>
        <w:spacing w:after="40" w:before="40" w:line="300"/>
      </w:pPr>
      <w:r>
        <w:rPr>
          <w:rFonts w:ascii="Arial" w:cs="Arial" w:eastAsia="Arial" w:hAnsi="Arial"/>
          <w:color w:val="1F1E1E"/>
          <w:sz w:val="22"/>
          <w:szCs w:val="22"/>
        </w:rPr>
        <w:t xml:space="preserve">Native status claims (native, ecotype, adapted, cultivated) must be truthful. Ecotype verification claims must be substantiated.</w:t>
      </w:r>
    </w:p>
    <w:p>
      <w:pPr>
        <w:pStyle w:val="ListParagraph"/>
        <w:numPr>
          <w:ilvl w:val="0"/>
          <w:numId w:val="2"/>
        </w:numPr>
        <w:spacing w:after="40" w:before="40" w:line="300"/>
      </w:pPr>
      <w:r>
        <w:rPr>
          <w:rFonts w:ascii="Arial" w:cs="Arial" w:eastAsia="Arial" w:hAnsi="Arial"/>
          <w:color w:val="1F1E1E"/>
          <w:sz w:val="22"/>
          <w:szCs w:val="22"/>
        </w:rPr>
        <w:t xml:space="preserve">Condition descriptions (seedling, mature, seeds, etc.) must reflect the actual state of the item at the time of listing.</w:t>
      </w:r>
    </w:p>
    <w:p>
      <w:pPr>
        <w:pStyle w:val="ListParagraph"/>
        <w:numPr>
          <w:ilvl w:val="0"/>
          <w:numId w:val="2"/>
        </w:numPr>
        <w:spacing w:after="40" w:before="40" w:line="300"/>
      </w:pPr>
      <w:r>
        <w:rPr>
          <w:rFonts w:ascii="Arial" w:cs="Arial" w:eastAsia="Arial" w:hAnsi="Arial"/>
          <w:color w:val="1F1E1E"/>
          <w:sz w:val="22"/>
          <w:szCs w:val="22"/>
        </w:rPr>
        <w:t xml:space="preserve">Photographs must depict the actual item or a representative specimen from the same batch. Stock photos are not permitted.</w:t>
      </w:r>
    </w:p>
    <w:p>
      <w:pPr>
        <w:pStyle w:val="ListParagraph"/>
        <w:numPr>
          <w:ilvl w:val="0"/>
          <w:numId w:val="2"/>
        </w:numPr>
        <w:spacing w:after="40" w:before="40" w:line="300"/>
      </w:pPr>
      <w:r>
        <w:rPr>
          <w:rFonts w:ascii="Arial" w:cs="Arial" w:eastAsia="Arial" w:hAnsi="Arial"/>
          <w:color w:val="1F1E1E"/>
          <w:sz w:val="22"/>
          <w:szCs w:val="22"/>
        </w:rPr>
        <w:t xml:space="preserve">Provenance information (origin, propagation method, source) must be factual. Fabricated provenance records are grounds for immediate account suspension.</w:t>
      </w:r>
    </w:p>
    <w:p>
      <w:pPr>
        <w:keepNext/>
        <w:spacing w:after="120" w:before="240"/>
      </w:pPr>
      <w:r>
        <w:rPr>
          <w:rFonts w:ascii="Arial" w:cs="Arial" w:eastAsia="Arial" w:hAnsi="Arial"/>
          <w:b/>
          <w:bCs/>
          <w:color w:val="3B5937"/>
          <w:sz w:val="22"/>
          <w:szCs w:val="22"/>
        </w:rPr>
        <w:t xml:space="preserve">4.2 Quantity and Measurement Standards</w:t>
      </w:r>
    </w:p>
    <w:p>
      <w:pPr>
        <w:spacing w:after="120" w:before="60" w:line="320"/>
        <w:jc w:val="both"/>
      </w:pPr>
      <w:r>
        <w:rPr>
          <w:rFonts w:ascii="Arial" w:cs="Arial" w:eastAsia="Arial" w:hAnsi="Arial"/>
          <w:color w:val="1F1E1E"/>
          <w:sz w:val="22"/>
          <w:szCs w:val="22"/>
        </w:rPr>
        <w:t xml:space="preserve">Listings must use standardized units of measure from the platform's approved list (e.g., item, packet, ounce, pound, gallon pot, flat, bare root, square feet, cubic yard). Custom or ambiguous measurements should be clarified in the listing description. Coverage claims (e.g., "covers 10 SF") must be reasonable and based on standard planting densities.</w:t>
      </w:r>
    </w:p>
    <w:p>
      <w:pPr>
        <w:keepNext/>
        <w:spacing w:after="160" w:before="360"/>
      </w:pPr>
      <w:r>
        <w:rPr>
          <w:rFonts w:ascii="Arial" w:cs="Arial" w:eastAsia="Arial" w:hAnsi="Arial"/>
          <w:b/>
          <w:bCs/>
          <w:color w:val="561217"/>
          <w:sz w:val="26"/>
          <w:szCs w:val="26"/>
        </w:rPr>
        <w:t xml:space="preserve">5. Regional and Jurisdictional Compliance</w:t>
      </w:r>
    </w:p>
    <w:p>
      <w:pPr>
        <w:spacing w:after="120" w:before="60" w:line="320"/>
        <w:jc w:val="both"/>
      </w:pPr>
      <w:r>
        <w:rPr>
          <w:rFonts w:ascii="Arial" w:cs="Arial" w:eastAsia="Arial" w:hAnsi="Arial"/>
          <w:color w:val="1F1E1E"/>
          <w:sz w:val="22"/>
          <w:szCs w:val="22"/>
        </w:rPr>
        <w:t xml:space="preserve">Sellers bear primary responsibility for ensuring that items comply with regulations in both their own jurisdiction and the buyer's jurisdiction. Key considerations include:</w:t>
      </w:r>
    </w:p>
    <w:p>
      <w:pPr>
        <w:pStyle w:val="ListParagraph"/>
        <w:numPr>
          <w:ilvl w:val="0"/>
          <w:numId w:val="2"/>
        </w:numPr>
        <w:spacing w:after="40" w:before="40" w:line="300"/>
      </w:pPr>
      <w:r>
        <w:rPr>
          <w:rFonts w:ascii="Arial" w:cs="Arial" w:eastAsia="Arial" w:hAnsi="Arial"/>
          <w:color w:val="1F1E1E"/>
          <w:sz w:val="22"/>
          <w:szCs w:val="22"/>
        </w:rPr>
        <w:t xml:space="preserve">Certain plants legal in one state or county may be classified as noxious weeds in another. Sellers must verify before completing a transaction.</w:t>
      </w:r>
    </w:p>
    <w:p>
      <w:pPr>
        <w:pStyle w:val="ListParagraph"/>
        <w:numPr>
          <w:ilvl w:val="0"/>
          <w:numId w:val="2"/>
        </w:numPr>
        <w:spacing w:after="40" w:before="40" w:line="300"/>
      </w:pPr>
      <w:r>
        <w:rPr>
          <w:rFonts w:ascii="Arial" w:cs="Arial" w:eastAsia="Arial" w:hAnsi="Arial"/>
          <w:color w:val="1F1E1E"/>
          <w:sz w:val="22"/>
          <w:szCs w:val="22"/>
        </w:rPr>
        <w:t xml:space="preserve">Some municipalities restrict the sale or planting of specific species within city limits. Sellers operating within such jurisdictions must comply.</w:t>
      </w:r>
    </w:p>
    <w:p>
      <w:pPr>
        <w:pStyle w:val="ListParagraph"/>
        <w:numPr>
          <w:ilvl w:val="0"/>
          <w:numId w:val="2"/>
        </w:numPr>
        <w:spacing w:after="40" w:before="40" w:line="300"/>
      </w:pPr>
      <w:r>
        <w:rPr>
          <w:rFonts w:ascii="Arial" w:cs="Arial" w:eastAsia="Arial" w:hAnsi="Arial"/>
          <w:color w:val="1F1E1E"/>
          <w:sz w:val="22"/>
          <w:szCs w:val="22"/>
        </w:rPr>
        <w:t xml:space="preserve">Interstate shipment of plant materials may require phytosanitary certificates or compliance with state agricultural import regulations.</w:t>
      </w:r>
    </w:p>
    <w:p>
      <w:pPr>
        <w:keepNext/>
        <w:spacing w:after="120" w:before="240"/>
      </w:pPr>
      <w:r>
        <w:rPr>
          <w:rFonts w:ascii="Arial" w:cs="Arial" w:eastAsia="Arial" w:hAnsi="Arial"/>
          <w:b/>
          <w:bCs/>
          <w:color w:val="3B5937"/>
          <w:sz w:val="22"/>
          <w:szCs w:val="22"/>
        </w:rPr>
        <w:t xml:space="preserve">Texas Nursery / Floral License (Sellers)</w:t>
      </w:r>
    </w:p>
    <w:p>
      <w:pPr>
        <w:spacing w:after="120" w:before="60" w:line="320"/>
        <w:jc w:val="both"/>
      </w:pPr>
      <w:r>
        <w:rPr>
          <w:rFonts w:ascii="Arial" w:cs="Arial" w:eastAsia="Arial" w:hAnsi="Arial"/>
          <w:color w:val="1F1E1E"/>
          <w:sz w:val="22"/>
          <w:szCs w:val="22"/>
        </w:rPr>
        <w:t xml:space="preserve">Sellers who conduct regular commercial sales of nursery products (including plants, seeds, bulbs, cuttings, or floral arrangements) in Texas are required to hold a current Texas Department of Agriculture (TDA) </w:t>
      </w:r>
      <w:r>
        <w:rPr>
          <w:rFonts w:ascii="Arial" w:cs="Arial" w:eastAsia="Arial" w:hAnsi="Arial"/>
          <w:b/>
          <w:bCs/>
          <w:color w:val="1F1E1E"/>
          <w:sz w:val="22"/>
          <w:szCs w:val="22"/>
        </w:rPr>
        <w:t xml:space="preserve">Nursery/Floral License</w:t>
      </w:r>
      <w:r>
        <w:rPr>
          <w:rFonts w:ascii="Arial" w:cs="Arial" w:eastAsia="Arial" w:hAnsi="Arial"/>
          <w:color w:val="1F1E1E"/>
          <w:sz w:val="22"/>
          <w:szCs w:val="22"/>
        </w:rPr>
        <w:t xml:space="preserve"> under Texas Agriculture Code Ch. 71 and 4 TAC Ch. 21.</w:t>
      </w:r>
    </w:p>
    <w:p>
      <w:pPr>
        <w:spacing w:after="120" w:before="60" w:line="320"/>
        <w:jc w:val="both"/>
      </w:pPr>
      <w:r>
        <w:rPr>
          <w:rFonts w:ascii="Arial" w:cs="Arial" w:eastAsia="Arial" w:hAnsi="Arial"/>
          <w:color w:val="1F1E1E"/>
          <w:sz w:val="22"/>
          <w:szCs w:val="22"/>
        </w:rPr>
        <w:t xml:space="preserve">The de minimis exception applies generally to occasional non-commercial sales by individuals, but recurring commercial activity — even at small scale — triggers the licensure requirement. The Foundation does not verify licensure on behalf of sellers and is not the licensee for individual listings. Sellers conducting commercial activity through the platform must:</w:t>
      </w:r>
    </w:p>
    <w:p>
      <w:pPr>
        <w:spacing w:after="120" w:before="60" w:line="320"/>
        <w:jc w:val="both"/>
      </w:pPr>
      <w:r>
        <w:rPr>
          <w:rFonts w:ascii="Arial" w:cs="Arial" w:eastAsia="Arial" w:hAnsi="Arial"/>
          <w:color w:val="1F1E1E"/>
          <w:sz w:val="22"/>
          <w:szCs w:val="22"/>
        </w:rPr>
        <w:t xml:space="preserve">(a) hold a current TDA license; (b) display their license number in listings as required; (c) comply with TDA inspection and reporting obligations; (d) comply with phytosanitary requirements for any interstate shipment.</w:t>
      </w:r>
    </w:p>
    <w:p>
      <w:pPr>
        <w:spacing w:after="120" w:before="60" w:line="320"/>
        <w:jc w:val="both"/>
      </w:pPr>
      <w:r>
        <w:rPr>
          <w:rFonts w:ascii="Arial" w:cs="Arial" w:eastAsia="Arial" w:hAnsi="Arial"/>
          <w:color w:val="1F1E1E"/>
          <w:sz w:val="22"/>
          <w:szCs w:val="22"/>
        </w:rPr>
        <w:t xml:space="preserve">Consult TDA at TexasAgriculture.gov for current requirements.</w:t>
      </w:r>
    </w:p>
    <w:p>
      <w:pPr>
        <w:keepNext/>
        <w:spacing w:after="160" w:before="360"/>
      </w:pPr>
      <w:r>
        <w:rPr>
          <w:rFonts w:ascii="Arial" w:cs="Arial" w:eastAsia="Arial" w:hAnsi="Arial"/>
          <w:b/>
          <w:bCs/>
          <w:color w:val="561217"/>
          <w:sz w:val="26"/>
          <w:szCs w:val="26"/>
        </w:rPr>
        <w:t xml:space="preserve">6. Trading and Pricing Standards</w:t>
      </w:r>
    </w:p>
    <w:p>
      <w:pPr>
        <w:spacing w:after="120" w:before="60" w:line="320"/>
        <w:jc w:val="both"/>
      </w:pPr>
      <w:r>
        <w:rPr>
          <w:rFonts w:ascii="Arial" w:cs="Arial" w:eastAsia="Arial" w:hAnsi="Arial"/>
          <w:color w:val="1F1E1E"/>
          <w:sz w:val="22"/>
          <w:szCs w:val="22"/>
        </w:rPr>
        <w:t xml:space="preserve">The Plant Exchange supports three transaction models: direct sale (USD pricing), barter/trade, and gifting. When a listing enables the barter/trade option, a corresponding entry may be posted to the Community Demand Board to facilitate matching with available offers.</w:t>
      </w:r>
    </w:p>
    <w:p>
      <w:pPr>
        <w:spacing w:after="120" w:before="60" w:line="320"/>
        <w:jc w:val="both"/>
      </w:pPr>
      <w:r>
        <w:rPr>
          <w:rFonts w:ascii="Arial" w:cs="Arial" w:eastAsia="Arial" w:hAnsi="Arial"/>
          <w:color w:val="1F1E1E"/>
          <w:sz w:val="22"/>
          <w:szCs w:val="22"/>
        </w:rPr>
        <w:t xml:space="preserve">Pricing must be fair and transparent. Price gouging during shortages or emergencies, deceptive pricing practices, and hidden fees are prohibited. The Holon Foundation does not take a commission on transactions but reserves the right to introduce nominal platform fees with advance notice.</w:t>
      </w:r>
    </w:p>
    <w:p>
      <w:pPr>
        <w:keepNext/>
        <w:spacing w:after="120" w:before="240"/>
      </w:pPr>
      <w:r>
        <w:rPr>
          <w:rFonts w:ascii="Arial" w:cs="Arial" w:eastAsia="Arial" w:hAnsi="Arial"/>
          <w:b/>
          <w:bCs/>
          <w:color w:val="3B5937"/>
          <w:sz w:val="22"/>
          <w:szCs w:val="22"/>
        </w:rPr>
        <w:t xml:space="preserve">UBIT Posture</w:t>
      </w:r>
    </w:p>
    <w:p>
      <w:pPr>
        <w:spacing w:after="120" w:before="60" w:line="320"/>
        <w:jc w:val="both"/>
      </w:pPr>
      <w:r>
        <w:rPr>
          <w:rFonts w:ascii="Arial" w:cs="Arial" w:eastAsia="Arial" w:hAnsi="Arial"/>
          <w:color w:val="1F1E1E"/>
          <w:sz w:val="22"/>
          <w:szCs w:val="22"/>
        </w:rPr>
        <w:t xml:space="preserve">Plant Exchange activity is substantially related to the Foundation's exempt purpose of advancing conservation through community-scale stewardship: it facilitates the propagation and circulation of native plant material, supports peer-to-peer ecological education, and provides verification scaffolding for the Foundation's stewardship trust network. Accordingly, no transaction revenue currently generated through the platform is considered unrelated business taxable income under IRC § 511.</w:t>
      </w:r>
    </w:p>
    <w:p>
      <w:pPr>
        <w:spacing w:after="120" w:before="60" w:line="320"/>
        <w:jc w:val="both"/>
      </w:pPr>
      <w:r>
        <w:rPr>
          <w:rFonts w:ascii="Arial" w:cs="Arial" w:eastAsia="Arial" w:hAnsi="Arial"/>
          <w:color w:val="1F1E1E"/>
          <w:sz w:val="22"/>
          <w:szCs w:val="22"/>
        </w:rPr>
        <w:t xml:space="preserve">If the Foundation introduces platform fees, those fees shall be structured to remain substantially related to the conservation mission (e.g., cost-recovery for verification of native status), and the Treasurer shall review the fee structure for UBIT exposure before introduction. Any unrelated business income shall be reported on Form 990-T.</w:t>
      </w:r>
    </w:p>
    <w:p>
      <w:pPr>
        <w:keepNext/>
        <w:spacing w:after="160" w:before="360"/>
      </w:pPr>
      <w:r>
        <w:rPr>
          <w:rFonts w:ascii="Arial" w:cs="Arial" w:eastAsia="Arial" w:hAnsi="Arial"/>
          <w:b/>
          <w:bCs/>
          <w:color w:val="561217"/>
          <w:sz w:val="26"/>
          <w:szCs w:val="26"/>
        </w:rPr>
        <w:t xml:space="preserve">7. Shipping and Risk of Loss</w:t>
      </w:r>
    </w:p>
    <w:p>
      <w:pPr>
        <w:spacing w:after="120" w:before="60" w:line="320"/>
        <w:jc w:val="both"/>
      </w:pPr>
      <w:r>
        <w:rPr>
          <w:rFonts w:ascii="Arial" w:cs="Arial" w:eastAsia="Arial" w:hAnsi="Arial"/>
          <w:color w:val="1F1E1E"/>
          <w:sz w:val="22"/>
          <w:szCs w:val="22"/>
        </w:rPr>
        <w:t xml:space="preserve">Where a transaction involves shipping, the seller bears responsibility for compliance with the Federal Trade Commission Mail Order Rule, 16 C.F.R. Part 435, including the obligation to ship within the time stated in the listing (or 30 days if no time is stated), and to refund or notify the buyer of any delay. Risk of loss passes to the buyer upon the carrier's acceptance of the shipment unless the listing states otherwise.</w:t>
      </w:r>
    </w:p>
    <w:p>
      <w:pPr>
        <w:spacing w:after="120" w:before="60" w:line="320"/>
        <w:jc w:val="both"/>
      </w:pPr>
      <w:r>
        <w:rPr>
          <w:rFonts w:ascii="Arial" w:cs="Arial" w:eastAsia="Arial" w:hAnsi="Arial"/>
          <w:color w:val="1F1E1E"/>
          <w:sz w:val="22"/>
          <w:szCs w:val="22"/>
        </w:rPr>
        <w:t xml:space="preserve">Sellers are encouraged to:</w:t>
      </w:r>
    </w:p>
    <w:p>
      <w:pPr>
        <w:spacing w:after="120" w:before="60" w:line="320"/>
        <w:jc w:val="both"/>
      </w:pPr>
      <w:r>
        <w:rPr>
          <w:rFonts w:ascii="Arial" w:cs="Arial" w:eastAsia="Arial" w:hAnsi="Arial"/>
          <w:color w:val="1F1E1E"/>
          <w:sz w:val="22"/>
          <w:szCs w:val="22"/>
        </w:rPr>
        <w:t xml:space="preserve">(a) use packaging appropriate to live plant material; (b) ship early in the week to avoid weekend delays; (c) include phytosanitary certification where required by destination jurisdiction.</w:t>
      </w:r>
    </w:p>
    <w:p>
      <w:pPr>
        <w:spacing w:after="120" w:before="60" w:line="320"/>
        <w:jc w:val="both"/>
      </w:pPr>
      <w:r>
        <w:rPr>
          <w:rFonts w:ascii="Arial" w:cs="Arial" w:eastAsia="Arial" w:hAnsi="Arial"/>
          <w:color w:val="1F1E1E"/>
          <w:sz w:val="22"/>
          <w:szCs w:val="22"/>
        </w:rPr>
        <w:t xml:space="preserve">Disputes arising from damaged-in-transit shipments are between buyer and seller; the Foundation may assist with reporter–steward mediation but does not adjudicate financial claims and is not a party to the underlying transaction.</w:t>
      </w:r>
    </w:p>
    <w:p>
      <w:pPr>
        <w:keepNext/>
        <w:spacing w:after="160" w:before="360"/>
      </w:pPr>
      <w:r>
        <w:rPr>
          <w:rFonts w:ascii="Arial" w:cs="Arial" w:eastAsia="Arial" w:hAnsi="Arial"/>
          <w:b/>
          <w:bCs/>
          <w:color w:val="561217"/>
          <w:sz w:val="26"/>
          <w:szCs w:val="26"/>
        </w:rPr>
        <w:t xml:space="preserve">8. Reporting and Moderation</w:t>
      </w:r>
    </w:p>
    <w:p>
      <w:pPr>
        <w:spacing w:after="120" w:before="60" w:line="320"/>
        <w:jc w:val="both"/>
      </w:pPr>
      <w:r>
        <w:rPr>
          <w:rFonts w:ascii="Arial" w:cs="Arial" w:eastAsia="Arial" w:hAnsi="Arial"/>
          <w:color w:val="1F1E1E"/>
          <w:sz w:val="22"/>
          <w:szCs w:val="22"/>
        </w:rPr>
        <w:t xml:space="preserve">The Plant Exchange reporting workflow operates under the same core principles, anti-abuse measures, and due-process protections as Holon Foundation Policy No. 21 (Garden Reporting &amp; Trust Integrity Policy), adapted for listing-specific issues. Where this Policy is silent, Policy No. 21 governs. Where the two policies conflict, the more specific provision applies; the Governance Committee shall reconcile any structural inconsistency at the next annual review.</w:t>
      </w:r>
    </w:p>
    <w:p>
      <w:pPr>
        <w:keepNext/>
        <w:spacing w:after="120" w:before="240"/>
      </w:pPr>
      <w:r>
        <w:rPr>
          <w:rFonts w:ascii="Arial" w:cs="Arial" w:eastAsia="Arial" w:hAnsi="Arial"/>
          <w:b/>
          <w:bCs/>
          <w:color w:val="3B5937"/>
          <w:sz w:val="22"/>
          <w:szCs w:val="22"/>
        </w:rPr>
        <w:t xml:space="preserve">8.1 Community Reporting</w:t>
      </w:r>
    </w:p>
    <w:p>
      <w:pPr>
        <w:spacing w:after="120" w:before="60" w:line="320"/>
        <w:jc w:val="both"/>
      </w:pPr>
      <w:r>
        <w:rPr>
          <w:rFonts w:ascii="Arial" w:cs="Arial" w:eastAsia="Arial" w:hAnsi="Arial"/>
          <w:color w:val="1F1E1E"/>
          <w:sz w:val="22"/>
          <w:szCs w:val="22"/>
        </w:rPr>
        <w:t xml:space="preserve">Any authenticated community member may report a listing they believe violates this policy. Reports are submitted through the platform's Report Listing feature and must include a category, severity assessment, and factual description of the concern. Photo evidence is encouraged but not mandatory for all report categories.</w:t>
      </w:r>
    </w:p>
    <w:p>
      <w:pPr>
        <w:keepNext/>
        <w:spacing w:after="120" w:before="240"/>
      </w:pPr>
      <w:r>
        <w:rPr>
          <w:rFonts w:ascii="Arial" w:cs="Arial" w:eastAsia="Arial" w:hAnsi="Arial"/>
          <w:b/>
          <w:bCs/>
          <w:color w:val="3B5937"/>
          <w:sz w:val="22"/>
          <w:szCs w:val="22"/>
        </w:rPr>
        <w:t xml:space="preserve">8.2 Moderation Process</w:t>
      </w:r>
    </w:p>
    <w:p>
      <w:pPr>
        <w:pStyle w:val="ListParagraph"/>
        <w:numPr>
          <w:ilvl w:val="0"/>
          <w:numId w:val="2"/>
        </w:numPr>
        <w:spacing w:after="40" w:before="40" w:line="300"/>
      </w:pPr>
      <w:r>
        <w:rPr>
          <w:rFonts w:ascii="Arial" w:cs="Arial" w:eastAsia="Arial" w:hAnsi="Arial"/>
          <w:color w:val="1F1E1E"/>
          <w:sz w:val="22"/>
          <w:szCs w:val="22"/>
        </w:rPr>
        <w:t xml:space="preserve">Reports are reviewed by the moderation team within 48 hours of submission.</w:t>
      </w:r>
    </w:p>
    <w:p>
      <w:pPr>
        <w:pStyle w:val="ListParagraph"/>
        <w:numPr>
          <w:ilvl w:val="0"/>
          <w:numId w:val="2"/>
        </w:numPr>
        <w:spacing w:after="40" w:before="40" w:line="300"/>
      </w:pPr>
      <w:r>
        <w:rPr>
          <w:rFonts w:ascii="Arial" w:cs="Arial" w:eastAsia="Arial" w:hAnsi="Arial"/>
          <w:color w:val="1F1E1E"/>
          <w:sz w:val="22"/>
          <w:szCs w:val="22"/>
        </w:rPr>
        <w:t xml:space="preserve">The listing owner is notified and given at least 7 calendar days to respond or correct the issue.</w:t>
      </w:r>
    </w:p>
    <w:p>
      <w:pPr>
        <w:pStyle w:val="ListParagraph"/>
        <w:numPr>
          <w:ilvl w:val="0"/>
          <w:numId w:val="2"/>
        </w:numPr>
        <w:spacing w:after="40" w:before="40" w:line="300"/>
      </w:pPr>
      <w:r>
        <w:rPr>
          <w:rFonts w:ascii="Arial" w:cs="Arial" w:eastAsia="Arial" w:hAnsi="Arial"/>
          <w:color w:val="1F1E1E"/>
          <w:sz w:val="22"/>
          <w:szCs w:val="22"/>
        </w:rPr>
        <w:t xml:space="preserve">The reporter's identity is kept confidential unless disclosure is legally required.</w:t>
      </w:r>
    </w:p>
    <w:p>
      <w:pPr>
        <w:pStyle w:val="ListParagraph"/>
        <w:numPr>
          <w:ilvl w:val="0"/>
          <w:numId w:val="2"/>
        </w:numPr>
        <w:spacing w:after="40" w:before="40" w:line="300"/>
      </w:pPr>
      <w:r>
        <w:rPr>
          <w:rFonts w:ascii="Arial" w:cs="Arial" w:eastAsia="Arial" w:hAnsi="Arial"/>
          <w:color w:val="1F1E1E"/>
          <w:sz w:val="22"/>
          <w:szCs w:val="22"/>
        </w:rPr>
        <w:t xml:space="preserve">False or malicious reports may result in restrictions on the reporter's account (Policy No. 21 § 9).</w:t>
      </w:r>
    </w:p>
    <w:p>
      <w:pPr>
        <w:pStyle w:val="ListParagraph"/>
        <w:numPr>
          <w:ilvl w:val="0"/>
          <w:numId w:val="2"/>
        </w:numPr>
        <w:spacing w:after="40" w:before="40" w:line="300"/>
      </w:pPr>
      <w:r>
        <w:rPr>
          <w:rFonts w:ascii="Arial" w:cs="Arial" w:eastAsia="Arial" w:hAnsi="Arial"/>
          <w:color w:val="1F1E1E"/>
          <w:sz w:val="22"/>
          <w:szCs w:val="22"/>
        </w:rPr>
        <w:t xml:space="preserve">Rate limits are enforced consistent with Policy No. 21 § 5.2.</w:t>
      </w:r>
    </w:p>
    <w:p>
      <w:pPr>
        <w:keepNext/>
        <w:spacing w:after="160" w:before="360"/>
      </w:pPr>
      <w:r>
        <w:rPr>
          <w:rFonts w:ascii="Arial" w:cs="Arial" w:eastAsia="Arial" w:hAnsi="Arial"/>
          <w:b/>
          <w:bCs/>
          <w:color w:val="561217"/>
          <w:sz w:val="26"/>
          <w:szCs w:val="26"/>
        </w:rPr>
        <w:t xml:space="preserve">9. Enforcement Actions</w:t>
      </w:r>
    </w:p>
    <w:p>
      <w:pPr>
        <w:spacing w:after="120" w:before="60" w:line="320"/>
        <w:jc w:val="both"/>
      </w:pPr>
      <w:r>
        <w:rPr>
          <w:rFonts w:ascii="Arial" w:cs="Arial" w:eastAsia="Arial" w:hAnsi="Arial"/>
          <w:color w:val="1F1E1E"/>
          <w:sz w:val="22"/>
          <w:szCs w:val="22"/>
        </w:rPr>
        <w:t xml:space="preserve">Violations of this policy may result in one or more of the following enforcement actions, applied proportionally to the severity and frequency of the violation: removal of the listing, account warning, temporary suspension, permanent removal from the Plant Exchange, or referral to law enforcement where applicable.</w:t>
      </w:r>
    </w:p>
    <w:p>
      <w:pPr>
        <w:keepNext/>
        <w:spacing w:after="160" w:before="360"/>
      </w:pPr>
      <w:r>
        <w:rPr>
          <w:rFonts w:ascii="Arial" w:cs="Arial" w:eastAsia="Arial" w:hAnsi="Arial"/>
          <w:b/>
          <w:bCs/>
          <w:color w:val="561217"/>
          <w:sz w:val="26"/>
          <w:szCs w:val="26"/>
        </w:rPr>
        <w:t xml:space="preserve">10. Access Control and Permissions</w:t>
      </w:r>
    </w:p>
    <w:p>
      <w:pPr>
        <w:spacing w:after="120" w:before="60" w:line="320"/>
        <w:jc w:val="both"/>
      </w:pPr>
      <w:r>
        <w:rPr>
          <w:rFonts w:ascii="Arial" w:cs="Arial" w:eastAsia="Arial" w:hAnsi="Arial"/>
          <w:color w:val="1F1E1E"/>
          <w:sz w:val="22"/>
          <w:szCs w:val="22"/>
        </w:rPr>
        <w:t xml:space="preserve">Only listing owners and Super Administrators may edit or delete Plant Exchange listings. All other authenticated users may view listing details and submit reports. Unauthenticated visitors may browse the Plant Exchange but cannot interact with listings. The Holon Foundation reserves the right to modify or remove any listing at any time to maintain policy compliance.</w:t>
      </w:r>
    </w:p>
    <w:p>
      <w:pPr>
        <w:keepNext/>
        <w:spacing w:after="160" w:before="360"/>
      </w:pPr>
      <w:r>
        <w:rPr>
          <w:rFonts w:ascii="Arial" w:cs="Arial" w:eastAsia="Arial" w:hAnsi="Arial"/>
          <w:b/>
          <w:bCs/>
          <w:color w:val="561217"/>
          <w:sz w:val="26"/>
          <w:szCs w:val="26"/>
        </w:rPr>
        <w:t xml:space="preserve">11. Listing Owner Acknowledgment</w:t>
      </w:r>
    </w:p>
    <w:p>
      <w:pPr>
        <w:spacing w:after="120" w:before="60" w:line="320"/>
        <w:jc w:val="both"/>
      </w:pPr>
      <w:r>
        <w:rPr>
          <w:rFonts w:ascii="Arial" w:cs="Arial" w:eastAsia="Arial" w:hAnsi="Arial"/>
          <w:color w:val="1F1E1E"/>
          <w:sz w:val="22"/>
          <w:szCs w:val="22"/>
        </w:rPr>
        <w:t xml:space="preserve">Every user creating a new listing must explicitly acknowledge this policy by checking a required confirmation checkbox before submission. The acknowledgment affirms that:</w:t>
      </w:r>
    </w:p>
    <w:p>
      <w:pPr>
        <w:pStyle w:val="ListParagraph"/>
        <w:numPr>
          <w:ilvl w:val="0"/>
          <w:numId w:val="2"/>
        </w:numPr>
        <w:spacing w:after="40" w:before="40" w:line="300"/>
      </w:pPr>
      <w:r>
        <w:rPr>
          <w:rFonts w:ascii="Arial" w:cs="Arial" w:eastAsia="Arial" w:hAnsi="Arial"/>
          <w:color w:val="1F1E1E"/>
          <w:sz w:val="22"/>
          <w:szCs w:val="22"/>
        </w:rPr>
        <w:t xml:space="preserve">The listing complies with all sections of this Plant Exchange Compliance Policy.</w:t>
      </w:r>
    </w:p>
    <w:p>
      <w:pPr>
        <w:pStyle w:val="ListParagraph"/>
        <w:numPr>
          <w:ilvl w:val="0"/>
          <w:numId w:val="2"/>
        </w:numPr>
        <w:spacing w:after="40" w:before="40" w:line="300"/>
      </w:pPr>
      <w:r>
        <w:rPr>
          <w:rFonts w:ascii="Arial" w:cs="Arial" w:eastAsia="Arial" w:hAnsi="Arial"/>
          <w:color w:val="1F1E1E"/>
          <w:sz w:val="22"/>
          <w:szCs w:val="22"/>
        </w:rPr>
        <w:t xml:space="preserve">The item is legal to sell, trade, or gift in the seller's jurisdiction.</w:t>
      </w:r>
    </w:p>
    <w:p>
      <w:pPr>
        <w:pStyle w:val="ListParagraph"/>
        <w:numPr>
          <w:ilvl w:val="0"/>
          <w:numId w:val="2"/>
        </w:numPr>
        <w:spacing w:after="40" w:before="40" w:line="300"/>
      </w:pPr>
      <w:r>
        <w:rPr>
          <w:rFonts w:ascii="Arial" w:cs="Arial" w:eastAsia="Arial" w:hAnsi="Arial"/>
          <w:color w:val="1F1E1E"/>
          <w:sz w:val="22"/>
          <w:szCs w:val="22"/>
        </w:rPr>
        <w:t xml:space="preserve">The listing accurately describes the item, including species, condition, and provenance.</w:t>
      </w:r>
    </w:p>
    <w:p>
      <w:pPr>
        <w:pStyle w:val="ListParagraph"/>
        <w:numPr>
          <w:ilvl w:val="0"/>
          <w:numId w:val="2"/>
        </w:numPr>
        <w:spacing w:after="40" w:before="40" w:line="300"/>
      </w:pPr>
      <w:r>
        <w:rPr>
          <w:rFonts w:ascii="Arial" w:cs="Arial" w:eastAsia="Arial" w:hAnsi="Arial"/>
          <w:color w:val="1F1E1E"/>
          <w:sz w:val="22"/>
          <w:szCs w:val="22"/>
        </w:rPr>
        <w:t xml:space="preserve">The item is not an invasive species, controlled substance, or other prohibited item.</w:t>
      </w:r>
    </w:p>
    <w:p>
      <w:pPr>
        <w:pStyle w:val="ListParagraph"/>
        <w:numPr>
          <w:ilvl w:val="0"/>
          <w:numId w:val="2"/>
        </w:numPr>
        <w:spacing w:after="40" w:before="40" w:line="300"/>
      </w:pPr>
      <w:r>
        <w:rPr>
          <w:rFonts w:ascii="Arial" w:cs="Arial" w:eastAsia="Arial" w:hAnsi="Arial"/>
          <w:color w:val="1F1E1E"/>
          <w:sz w:val="22"/>
          <w:szCs w:val="22"/>
        </w:rPr>
        <w:t xml:space="preserve">The seller accepts responsibility for verifying regional compliance before completing any transaction.</w:t>
      </w:r>
    </w:p>
    <w:p>
      <w:pPr>
        <w:keepNext/>
        <w:spacing w:after="160" w:before="360"/>
      </w:pPr>
      <w:r>
        <w:rPr>
          <w:rFonts w:ascii="Arial" w:cs="Arial" w:eastAsia="Arial" w:hAnsi="Arial"/>
          <w:b/>
          <w:bCs/>
          <w:color w:val="561217"/>
          <w:sz w:val="26"/>
          <w:szCs w:val="26"/>
        </w:rPr>
        <w:t xml:space="preserve">12. Amendments and Review</w:t>
      </w:r>
    </w:p>
    <w:p>
      <w:pPr>
        <w:spacing w:after="120" w:before="60" w:line="320"/>
        <w:jc w:val="both"/>
      </w:pPr>
      <w:r>
        <w:rPr>
          <w:rFonts w:ascii="Arial" w:cs="Arial" w:eastAsia="Arial" w:hAnsi="Arial"/>
          <w:color w:val="1F1E1E"/>
          <w:sz w:val="22"/>
          <w:szCs w:val="22"/>
        </w:rPr>
        <w:t xml:space="preserve">This policy is reviewed annually by the Holon Foundation Board of Directors. Amendments may be made at any time to address emerging regulatory requirements, community feedback, or operational needs. Users will be notified of material changes through the platform. Continued use of the Plant Exchange after policy updates constitutes acceptance of the revised terms.</w:t>
      </w:r>
    </w:p>
    <w:p>
      <w:pPr>
        <w:keepNext/>
        <w:spacing w:after="160" w:before="360"/>
      </w:pPr>
      <w:r>
        <w:rPr>
          <w:rFonts w:ascii="Arial" w:cs="Arial" w:eastAsia="Arial" w:hAnsi="Arial"/>
          <w:b/>
          <w:bCs/>
          <w:color w:val="561217"/>
          <w:sz w:val="26"/>
          <w:szCs w:val="26"/>
        </w:rPr>
        <w:t xml:space="preserve">13. Contact and Questions</w:t>
      </w:r>
    </w:p>
    <w:p>
      <w:pPr>
        <w:spacing w:after="120" w:before="60" w:line="320"/>
        <w:jc w:val="both"/>
      </w:pPr>
      <w:r>
        <w:rPr>
          <w:rFonts w:ascii="Arial" w:cs="Arial" w:eastAsia="Arial" w:hAnsi="Arial"/>
          <w:color w:val="1F1E1E"/>
          <w:sz w:val="22"/>
          <w:szCs w:val="22"/>
        </w:rPr>
        <w:t xml:space="preserve">For questions about this policy, to report concerns, or to request a determination on whether a specific item is permitted, contact the Holon Foundation at info@holonfoundation.org or through the Trust Portal's feedback system.</w:t>
      </w:r>
    </w:p>
    <w:p>
      <w:pPr>
        <w:spacing w:after="120" w:before="60" w:line="320"/>
        <w:jc w:val="both"/>
      </w:pPr>
      <w:r>
        <w:rPr>
          <w:rFonts w:ascii="Arial" w:cs="Arial" w:eastAsia="Arial" w:hAnsi="Arial"/>
          <w:color w:val="1F1E1E"/>
          <w:sz w:val="22"/>
          <w:szCs w:val="22"/>
        </w:rPr>
        <w:t xml:space="preserve">Approved by the Board of Directors, Holon Foundation.</w:t>
      </w:r>
    </w:p>
    <w:sectPr>
      <w:headerReference w:type="default" r:id="rId7"/>
      <w:headerReference w:type="first" r:id="rId8"/>
      <w:footerReference w:type="default" r:id="rId9"/>
      <w:footerReference w:type="first" r:id="rId10"/>
      <w:pgSz w:w="12240" w:h="15840" w:orient="portrait"/>
      <w:pgMar w:top="1080" w:right="1080" w:bottom="1080" w:left="108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6CD" w:sz="4" w:space="4"/>
      </w:pBdr>
      <w:tabs>
        <w:tab w:val="center" w:pos="4680"/>
        <w:tab w:val="right" w:pos="9360"/>
      </w:tabs>
      <w:spacing w:after="0" w:before="80"/>
      <w:jc w:val="center"/>
    </w:pPr>
    <w:r>
      <w:rPr>
        <w:rFonts w:ascii="Arial" w:cs="Arial" w:eastAsia="Arial" w:hAnsi="Arial"/>
        <w:color w:val="4A4A4A"/>
        <w:sz w:val="14"/>
        <w:szCs w:val="14"/>
      </w:rPr>
      <w:t xml:space="preserve">Holon Foundation</w:t>
    </w:r>
    <w:r>
      <w:rPr>
        <w:rFonts w:ascii="Arial" w:cs="Arial" w:eastAsia="Arial" w:hAnsi="Arial"/>
        <w:sz w:val="14"/>
        <w:szCs w:val="14"/>
      </w:rPr>
      <w:t xml:space="preserve">	</w:t>
    </w:r>
    <w:r>
      <w:rPr>
        <w:rFonts w:ascii="Arial" w:cs="Arial" w:eastAsia="Arial" w:hAnsi="Arial"/>
        <w:color w:val="4A4A4A"/>
        <w:sz w:val="14"/>
        <w:szCs w:val="14"/>
      </w:rPr>
      <w:t xml:space="preserve">Policy No. 23  ·  Version 2.0</w:t>
    </w:r>
    <w:r>
      <w:rPr>
        <w:rFonts w:ascii="Arial" w:cs="Arial" w:eastAsia="Arial" w:hAnsi="Arial"/>
        <w:sz w:val="14"/>
        <w:szCs w:val="14"/>
      </w:rPr>
      <w:t xml:space="preserve">	</w:t>
    </w:r>
    <w:r>
      <w:rPr>
        <w:rFonts w:ascii="Arial" w:cs="Arial" w:eastAsia="Arial" w:hAnsi="Arial"/>
        <w:color w:val="4A4A4A"/>
        <w:sz w:val="14"/>
        <w:szCs w:val="14"/>
      </w:rPr>
      <w:t xml:space="preserve">Page </w:t>
    </w:r>
    <w:r>
      <w:rPr>
        <w:rFonts w:ascii="Arial" w:cs="Arial" w:eastAsia="Arial" w:hAnsi="Arial"/>
        <w:color w:val="4A4A4A"/>
        <w:sz w:val="14"/>
        <w:szCs w:val="14"/>
      </w:rPr>
      <w:fldChar w:fldCharType="begin"/>
      <w:instrText xml:space="preserve">PAGE</w:instrText>
      <w:fldChar w:fldCharType="separate"/>
      <w:fldChar w:fldCharType="end"/>
    </w:r>
    <w:r>
      <w:rPr>
        <w:rFonts w:ascii="Arial" w:cs="Arial" w:eastAsia="Arial" w:hAnsi="Arial"/>
        <w:color w:val="4A4A4A"/>
        <w:sz w:val="14"/>
        <w:szCs w:val="14"/>
      </w:rPr>
      <w:t xml:space="preserve"> of </w:t>
    </w:r>
    <w:r>
      <w:rPr>
        <w:rFonts w:ascii="Arial" w:cs="Arial" w:eastAsia="Arial" w:hAnsi="Arial"/>
        <w:color w:val="4A4A4A"/>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6CD" w:sz="4" w:space="4"/>
      </w:pBdr>
      <w:spacing w:after="80" w:before="0"/>
      <w:jc w:val="left"/>
    </w:pPr>
    <w:r>
      <w:rPr>
        <w:rFonts w:ascii="Arial" w:cs="Arial" w:eastAsia="Arial" w:hAnsi="Arial"/>
        <w:b/>
        <w:bCs/>
        <w:color w:val="561217"/>
        <w:spacing w:val="30"/>
        <w:sz w:val="14"/>
        <w:szCs w:val="14"/>
      </w:rPr>
      <w:t xml:space="preserve">HOLON FOUNDATION  ·  POLICY NO. 23  ·  PLANT EXCHANGE COMPLIANCE POLICY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Arial" w:cs="Arial" w:eastAsia="Arial" w:hAnsi="Arial"/>
        <w:color w:val="56121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1E1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Exchange Compliance Policy</dc:title>
  <dc:creator>Holon Foundation</dc:creator>
  <dc:description>Holon Foundation — Policy No. 23</dc:description>
  <cp:lastModifiedBy>Un-named</cp:lastModifiedBy>
  <cp:revision>1</cp:revision>
  <dcterms:created xsi:type="dcterms:W3CDTF">2026-05-21T03:16:35.433Z</dcterms:created>
  <dcterms:modified xsi:type="dcterms:W3CDTF">2026-05-21T03:16:35.441Z</dcterms:modified>
</cp:coreProperties>
</file>

<file path=docProps/custom.xml><?xml version="1.0" encoding="utf-8"?>
<Properties xmlns="http://schemas.openxmlformats.org/officeDocument/2006/custom-properties" xmlns:vt="http://schemas.openxmlformats.org/officeDocument/2006/docPropsVTypes"/>
</file>