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22</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Digital Security &amp; Accessibility Compliance Policy</w:t>
      </w:r>
    </w:p>
    <w:p>
      <w:pPr>
        <w:spacing w:after="0" w:before="0"/>
        <w:jc w:val="center"/>
      </w:pPr>
      <w:r>
        <w:rPr>
          <w:rFonts w:ascii="Arial" w:cs="Arial" w:eastAsia="Arial" w:hAnsi="Arial"/>
          <w:i/>
          <w:iCs/>
          <w:color w:val="4A4A4A"/>
          <w:sz w:val="20"/>
          <w:szCs w:val="20"/>
        </w:rPr>
        <w:t xml:space="preserve">Holon Foundation — Policy No. 22</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Corrected the Regulatory Framework: replaced ADA Title II (governs public entities) with Title III (places of public accommodation) plus Section 504 and Section 508 of the Rehabilitation Act.</w:t>
      </w:r>
    </w:p>
    <w:p>
      <w:pPr>
        <w:pStyle w:val="ListParagraph"/>
        <w:numPr>
          <w:ilvl w:val="0"/>
          <w:numId w:val="2"/>
        </w:numPr>
        <w:spacing w:after="40" w:before="40" w:line="300"/>
      </w:pPr>
      <w:r>
        <w:rPr>
          <w:rFonts w:ascii="Arial" w:cs="Arial" w:eastAsia="Arial" w:hAnsi="Arial"/>
          <w:color w:val="1F1E1E"/>
          <w:sz w:val="22"/>
          <w:szCs w:val="22"/>
        </w:rPr>
        <w:t xml:space="preserve">Updated WCAG 2.1 Level AA → </w:t>
      </w:r>
      <w:r>
        <w:rPr>
          <w:rFonts w:ascii="Arial" w:cs="Arial" w:eastAsia="Arial" w:hAnsi="Arial"/>
          <w:b/>
          <w:bCs/>
          <w:color w:val="1F1E1E"/>
          <w:sz w:val="22"/>
          <w:szCs w:val="22"/>
        </w:rPr>
        <w:t xml:space="preserve">WCAG 2.2 Level AA</w:t>
      </w:r>
      <w:r>
        <w:rPr>
          <w:rFonts w:ascii="Arial" w:cs="Arial" w:eastAsia="Arial" w:hAnsi="Arial"/>
          <w:color w:val="1F1E1E"/>
          <w:sz w:val="22"/>
          <w:szCs w:val="22"/>
        </w:rPr>
        <w:t xml:space="preserve"> (October 2023; adopted by DOJ April 2024 Title II final rule), with the nine WCAG 2.2 additional success criteria material to the Foundation's services.</w:t>
      </w:r>
    </w:p>
    <w:p>
      <w:pPr>
        <w:pStyle w:val="ListParagraph"/>
        <w:numPr>
          <w:ilvl w:val="0"/>
          <w:numId w:val="2"/>
        </w:numPr>
        <w:spacing w:after="40" w:before="40" w:line="300"/>
      </w:pPr>
      <w:r>
        <w:rPr>
          <w:rFonts w:ascii="Arial" w:cs="Arial" w:eastAsia="Arial" w:hAnsi="Arial"/>
          <w:color w:val="1F1E1E"/>
          <w:sz w:val="22"/>
          <w:szCs w:val="22"/>
        </w:rPr>
        <w:t xml:space="preserve">Corrected the role hierarchy to reflect the post-ADR-106 three-axis taxonomy (Visitor / Seed Member / Steward / Verifier / Community Lead / Admin / Super Admin), removing the retired Custodes tier.</w:t>
      </w:r>
    </w:p>
    <w:p>
      <w:pPr>
        <w:pStyle w:val="ListParagraph"/>
        <w:numPr>
          <w:ilvl w:val="0"/>
          <w:numId w:val="2"/>
        </w:numPr>
        <w:spacing w:after="40" w:before="40" w:line="300"/>
      </w:pPr>
      <w:r>
        <w:rPr>
          <w:rFonts w:ascii="Arial" w:cs="Arial" w:eastAsia="Arial" w:hAnsi="Arial"/>
          <w:color w:val="1F1E1E"/>
          <w:sz w:val="22"/>
          <w:szCs w:val="22"/>
        </w:rPr>
        <w:t xml:space="preserve">Aligned Minor Privacy section with Texas SCOPE Act and the Foundation's existing Parental Consent process; reconciled with Policy No. 15 and Policy No. 31.</w:t>
      </w:r>
    </w:p>
    <w:p>
      <w:pPr>
        <w:pStyle w:val="ListParagraph"/>
        <w:numPr>
          <w:ilvl w:val="0"/>
          <w:numId w:val="2"/>
        </w:numPr>
        <w:spacing w:after="40" w:before="40" w:line="300"/>
      </w:pPr>
      <w:r>
        <w:rPr>
          <w:rFonts w:ascii="Arial" w:cs="Arial" w:eastAsia="Arial" w:hAnsi="Arial"/>
          <w:color w:val="1F1E1E"/>
          <w:sz w:val="22"/>
          <w:szCs w:val="22"/>
        </w:rPr>
        <w:t xml:space="preserve">Couched specific configuration values (session timeout, header settings) as "current configuration subject to update," with material changes reflected at the next annual review.</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1. Purpose &amp; Scope</w:t>
      </w:r>
    </w:p>
    <w:p>
      <w:pPr>
        <w:spacing w:after="120" w:before="60" w:line="320"/>
        <w:jc w:val="both"/>
      </w:pPr>
      <w:r>
        <w:rPr>
          <w:rFonts w:ascii="Arial" w:cs="Arial" w:eastAsia="Arial" w:hAnsi="Arial"/>
          <w:color w:val="1F1E1E"/>
          <w:sz w:val="22"/>
          <w:szCs w:val="22"/>
        </w:rPr>
        <w:t xml:space="preserve">This policy establishes the digital security standards, data privacy requirements, and accessibility compliance framework for all Holon Foundation technology systems, including the public website (holonfoundation.org), Trust Portal, and any associated digital infrastructure.</w:t>
      </w:r>
    </w:p>
    <w:p>
      <w:pPr>
        <w:spacing w:after="120" w:before="60" w:line="320"/>
        <w:jc w:val="both"/>
      </w:pPr>
      <w:r>
        <w:rPr>
          <w:rFonts w:ascii="Arial" w:cs="Arial" w:eastAsia="Arial" w:hAnsi="Arial"/>
          <w:b/>
          <w:bCs/>
          <w:color w:val="1F1E1E"/>
          <w:sz w:val="22"/>
          <w:szCs w:val="22"/>
        </w:rPr>
        <w:t xml:space="preserve">Scope.</w:t>
      </w:r>
      <w:r>
        <w:rPr>
          <w:rFonts w:ascii="Arial" w:cs="Arial" w:eastAsia="Arial" w:hAnsi="Arial"/>
          <w:color w:val="1F1E1E"/>
          <w:sz w:val="22"/>
          <w:szCs w:val="22"/>
        </w:rPr>
        <w:t xml:space="preserve"> This policy applies to all Foundation personnel, contractors, volunteers, technology partners, and any individual with authorized access to Foundation digital systems. It governs all web properties, databases, APIs, and user-facing interfaces operated by or on behalf of the Holon Foundation.</w:t>
      </w:r>
    </w:p>
    <w:p>
      <w:pPr>
        <w:spacing w:after="120" w:before="60" w:line="320"/>
        <w:jc w:val="both"/>
      </w:pPr>
      <w:r>
        <w:rPr>
          <w:rFonts w:ascii="Arial" w:cs="Arial" w:eastAsia="Arial" w:hAnsi="Arial"/>
          <w:b/>
          <w:bCs/>
          <w:color w:val="1F1E1E"/>
          <w:sz w:val="22"/>
          <w:szCs w:val="22"/>
        </w:rPr>
        <w:t xml:space="preserve">Regulatory Framework.</w:t>
      </w:r>
      <w:r>
        <w:rPr>
          <w:rFonts w:ascii="Arial" w:cs="Arial" w:eastAsia="Arial" w:hAnsi="Arial"/>
          <w:color w:val="1F1E1E"/>
          <w:sz w:val="22"/>
          <w:szCs w:val="22"/>
        </w:rPr>
        <w:t xml:space="preserve"> This policy is designed to comply with applicable federal, state, and international regulations, including:</w:t>
      </w:r>
    </w:p>
    <w:p>
      <w:pPr>
        <w:spacing w:after="120" w:before="60" w:line="320"/>
        <w:jc w:val="both"/>
      </w:pPr>
      <w:r>
        <w:rPr>
          <w:rFonts w:ascii="Arial" w:cs="Arial" w:eastAsia="Arial" w:hAnsi="Arial"/>
          <w:color w:val="1F1E1E"/>
          <w:sz w:val="22"/>
          <w:szCs w:val="22"/>
        </w:rPr>
        <w:t xml:space="preserve">(a) </w:t>
      </w:r>
      <w:r>
        <w:rPr>
          <w:rFonts w:ascii="Arial" w:cs="Arial" w:eastAsia="Arial" w:hAnsi="Arial"/>
          <w:b/>
          <w:bCs/>
          <w:color w:val="1F1E1E"/>
          <w:sz w:val="22"/>
          <w:szCs w:val="22"/>
        </w:rPr>
        <w:t xml:space="preserve">Title III of the Americans with Disabilities Act</w:t>
      </w:r>
      <w:r>
        <w:rPr>
          <w:rFonts w:ascii="Arial" w:cs="Arial" w:eastAsia="Arial" w:hAnsi="Arial"/>
          <w:color w:val="1F1E1E"/>
          <w:sz w:val="22"/>
          <w:szCs w:val="22"/>
        </w:rPr>
        <w:t xml:space="preserve">, 42 U.S.C. § 12182, applicable to places of public accommodation;</w:t>
      </w:r>
    </w:p>
    <w:p>
      <w:pPr>
        <w:spacing w:after="120" w:before="60" w:line="320"/>
        <w:jc w:val="both"/>
      </w:pPr>
      <w:r>
        <w:rPr>
          <w:rFonts w:ascii="Arial" w:cs="Arial" w:eastAsia="Arial" w:hAnsi="Arial"/>
          <w:color w:val="1F1E1E"/>
          <w:sz w:val="22"/>
          <w:szCs w:val="22"/>
        </w:rPr>
        <w:t xml:space="preserve">(b) </w:t>
      </w:r>
      <w:r>
        <w:rPr>
          <w:rFonts w:ascii="Arial" w:cs="Arial" w:eastAsia="Arial" w:hAnsi="Arial"/>
          <w:b/>
          <w:bCs/>
          <w:color w:val="1F1E1E"/>
          <w:sz w:val="22"/>
          <w:szCs w:val="22"/>
        </w:rPr>
        <w:t xml:space="preserve">Section 504 of the Rehabilitation Act of 1973</w:t>
      </w:r>
      <w:r>
        <w:rPr>
          <w:rFonts w:ascii="Arial" w:cs="Arial" w:eastAsia="Arial" w:hAnsi="Arial"/>
          <w:color w:val="1F1E1E"/>
          <w:sz w:val="22"/>
          <w:szCs w:val="22"/>
        </w:rPr>
        <w:t xml:space="preserve">, 29 U.S.C. § 794, applicable to any program or activity receiving federal financial assistance;</w:t>
      </w:r>
    </w:p>
    <w:p>
      <w:pPr>
        <w:spacing w:after="120" w:before="60" w:line="320"/>
        <w:jc w:val="both"/>
      </w:pPr>
      <w:r>
        <w:rPr>
          <w:rFonts w:ascii="Arial" w:cs="Arial" w:eastAsia="Arial" w:hAnsi="Arial"/>
          <w:color w:val="1F1E1E"/>
          <w:sz w:val="22"/>
          <w:szCs w:val="22"/>
        </w:rPr>
        <w:t xml:space="preserve">(c) </w:t>
      </w:r>
      <w:r>
        <w:rPr>
          <w:rFonts w:ascii="Arial" w:cs="Arial" w:eastAsia="Arial" w:hAnsi="Arial"/>
          <w:b/>
          <w:bCs/>
          <w:color w:val="1F1E1E"/>
          <w:sz w:val="22"/>
          <w:szCs w:val="22"/>
        </w:rPr>
        <w:t xml:space="preserve">Section 508 of the Rehabilitation Act</w:t>
      </w:r>
      <w:r>
        <w:rPr>
          <w:rFonts w:ascii="Arial" w:cs="Arial" w:eastAsia="Arial" w:hAnsi="Arial"/>
          <w:color w:val="1F1E1E"/>
          <w:sz w:val="22"/>
          <w:szCs w:val="22"/>
        </w:rPr>
        <w:t xml:space="preserve">, 29 U.S.C. § 794d, applicable to electronic and information technology procured by federal funds;</w:t>
      </w:r>
    </w:p>
    <w:p>
      <w:pPr>
        <w:spacing w:after="120" w:before="60" w:line="320"/>
        <w:jc w:val="both"/>
      </w:pPr>
      <w:r>
        <w:rPr>
          <w:rFonts w:ascii="Arial" w:cs="Arial" w:eastAsia="Arial" w:hAnsi="Arial"/>
          <w:color w:val="1F1E1E"/>
          <w:sz w:val="22"/>
          <w:szCs w:val="22"/>
        </w:rPr>
        <w:t xml:space="preserve">(d) the </w:t>
      </w:r>
      <w:r>
        <w:rPr>
          <w:rFonts w:ascii="Arial" w:cs="Arial" w:eastAsia="Arial" w:hAnsi="Arial"/>
          <w:b/>
          <w:bCs/>
          <w:color w:val="1F1E1E"/>
          <w:sz w:val="22"/>
          <w:szCs w:val="22"/>
        </w:rPr>
        <w:t xml:space="preserve">Texas Data Privacy and Security Act (TDPSA)</w:t>
      </w:r>
      <w:r>
        <w:rPr>
          <w:rFonts w:ascii="Arial" w:cs="Arial" w:eastAsia="Arial" w:hAnsi="Arial"/>
          <w:color w:val="1F1E1E"/>
          <w:sz w:val="22"/>
          <w:szCs w:val="22"/>
        </w:rPr>
        <w:t xml:space="preserve">, Bus. &amp; Com. Code Ch. 541;</w:t>
      </w:r>
    </w:p>
    <w:p>
      <w:pPr>
        <w:spacing w:after="120" w:before="60" w:line="320"/>
        <w:jc w:val="both"/>
      </w:pPr>
      <w:r>
        <w:rPr>
          <w:rFonts w:ascii="Arial" w:cs="Arial" w:eastAsia="Arial" w:hAnsi="Arial"/>
          <w:color w:val="1F1E1E"/>
          <w:sz w:val="22"/>
          <w:szCs w:val="22"/>
        </w:rPr>
        <w:t xml:space="preserve">(e) the </w:t>
      </w:r>
      <w:r>
        <w:rPr>
          <w:rFonts w:ascii="Arial" w:cs="Arial" w:eastAsia="Arial" w:hAnsi="Arial"/>
          <w:b/>
          <w:bCs/>
          <w:color w:val="1F1E1E"/>
          <w:sz w:val="22"/>
          <w:szCs w:val="22"/>
        </w:rPr>
        <w:t xml:space="preserve">Texas Identity Theft Enforcement and Protection Act</w:t>
      </w:r>
      <w:r>
        <w:rPr>
          <w:rFonts w:ascii="Arial" w:cs="Arial" w:eastAsia="Arial" w:hAnsi="Arial"/>
          <w:color w:val="1F1E1E"/>
          <w:sz w:val="22"/>
          <w:szCs w:val="22"/>
        </w:rPr>
        <w:t xml:space="preserve">, Bus. &amp; Com. Code § 521;</w:t>
      </w:r>
    </w:p>
    <w:p>
      <w:pPr>
        <w:spacing w:after="120" w:before="60" w:line="320"/>
        <w:jc w:val="both"/>
      </w:pPr>
      <w:r>
        <w:rPr>
          <w:rFonts w:ascii="Arial" w:cs="Arial" w:eastAsia="Arial" w:hAnsi="Arial"/>
          <w:color w:val="1F1E1E"/>
          <w:sz w:val="22"/>
          <w:szCs w:val="22"/>
        </w:rPr>
        <w:t xml:space="preserve">(f) </w:t>
      </w:r>
      <w:r>
        <w:rPr>
          <w:rFonts w:ascii="Arial" w:cs="Arial" w:eastAsia="Arial" w:hAnsi="Arial"/>
          <w:b/>
          <w:bCs/>
          <w:color w:val="1F1E1E"/>
          <w:sz w:val="22"/>
          <w:szCs w:val="22"/>
        </w:rPr>
        <w:t xml:space="preserve">Texas HB 18 / SCOPE Act</w:t>
      </w:r>
      <w:r>
        <w:rPr>
          <w:rFonts w:ascii="Arial" w:cs="Arial" w:eastAsia="Arial" w:hAnsi="Arial"/>
          <w:color w:val="1F1E1E"/>
          <w:sz w:val="22"/>
          <w:szCs w:val="22"/>
        </w:rPr>
        <w:t xml:space="preserve"> (Bus. &amp; Com. Code Ch. 509) for minor users;</w:t>
      </w:r>
    </w:p>
    <w:p>
      <w:pPr>
        <w:spacing w:after="120" w:before="60" w:line="320"/>
        <w:jc w:val="both"/>
      </w:pPr>
      <w:r>
        <w:rPr>
          <w:rFonts w:ascii="Arial" w:cs="Arial" w:eastAsia="Arial" w:hAnsi="Arial"/>
          <w:color w:val="1F1E1E"/>
          <w:sz w:val="22"/>
          <w:szCs w:val="22"/>
        </w:rPr>
        <w:t xml:space="preserve">(g) the </w:t>
      </w:r>
      <w:r>
        <w:rPr>
          <w:rFonts w:ascii="Arial" w:cs="Arial" w:eastAsia="Arial" w:hAnsi="Arial"/>
          <w:b/>
          <w:bCs/>
          <w:color w:val="1F1E1E"/>
          <w:sz w:val="22"/>
          <w:szCs w:val="22"/>
        </w:rPr>
        <w:t xml:space="preserve">Children's Online Privacy Protection Act (COPPA)</w:t>
      </w:r>
      <w:r>
        <w:rPr>
          <w:rFonts w:ascii="Arial" w:cs="Arial" w:eastAsia="Arial" w:hAnsi="Arial"/>
          <w:color w:val="1F1E1E"/>
          <w:sz w:val="22"/>
          <w:szCs w:val="22"/>
        </w:rPr>
        <w:t xml:space="preserve">, 15 U.S.C. § 6501;</w:t>
      </w:r>
    </w:p>
    <w:p>
      <w:pPr>
        <w:spacing w:after="120" w:before="60" w:line="320"/>
        <w:jc w:val="both"/>
      </w:pPr>
      <w:r>
        <w:rPr>
          <w:rFonts w:ascii="Arial" w:cs="Arial" w:eastAsia="Arial" w:hAnsi="Arial"/>
          <w:color w:val="1F1E1E"/>
          <w:sz w:val="22"/>
          <w:szCs w:val="22"/>
        </w:rPr>
        <w:t xml:space="preserve">(h) the </w:t>
      </w:r>
      <w:r>
        <w:rPr>
          <w:rFonts w:ascii="Arial" w:cs="Arial" w:eastAsia="Arial" w:hAnsi="Arial"/>
          <w:b/>
          <w:bCs/>
          <w:color w:val="1F1E1E"/>
          <w:sz w:val="22"/>
          <w:szCs w:val="22"/>
        </w:rPr>
        <w:t xml:space="preserve">Texas Responsible AI Governance Act (TRAIGA)</w:t>
      </w:r>
      <w:r>
        <w:rPr>
          <w:rFonts w:ascii="Arial" w:cs="Arial" w:eastAsia="Arial" w:hAnsi="Arial"/>
          <w:color w:val="1F1E1E"/>
          <w:sz w:val="22"/>
          <w:szCs w:val="22"/>
        </w:rPr>
        <w:t xml:space="preserve"> for any AI deployments;</w:t>
      </w:r>
    </w:p>
    <w:p>
      <w:pPr>
        <w:spacing w:after="120" w:before="60" w:line="320"/>
        <w:jc w:val="both"/>
      </w:pPr>
      <w:r>
        <w:rPr>
          <w:rFonts w:ascii="Arial" w:cs="Arial" w:eastAsia="Arial" w:hAnsi="Arial"/>
          <w:color w:val="1F1E1E"/>
          <w:sz w:val="22"/>
          <w:szCs w:val="22"/>
        </w:rPr>
        <w:t xml:space="preserve">(i) the </w:t>
      </w:r>
      <w:r>
        <w:rPr>
          <w:rFonts w:ascii="Arial" w:cs="Arial" w:eastAsia="Arial" w:hAnsi="Arial"/>
          <w:b/>
          <w:bCs/>
          <w:color w:val="1F1E1E"/>
          <w:sz w:val="22"/>
          <w:szCs w:val="22"/>
        </w:rPr>
        <w:t xml:space="preserve">Web Content Accessibility Guidelines (WCAG) 2.2, Level AA</w:t>
      </w:r>
      <w:r>
        <w:rPr>
          <w:rFonts w:ascii="Arial" w:cs="Arial" w:eastAsia="Arial" w:hAnsi="Arial"/>
          <w:color w:val="1F1E1E"/>
          <w:sz w:val="22"/>
          <w:szCs w:val="22"/>
        </w:rPr>
        <w:t xml:space="preserve">, as established by the World Wide Web Consortium (W3C).</w:t>
      </w:r>
    </w:p>
    <w:p>
      <w:pPr>
        <w:keepNext/>
        <w:spacing w:after="160" w:before="360"/>
      </w:pPr>
      <w:r>
        <w:rPr>
          <w:rFonts w:ascii="Arial" w:cs="Arial" w:eastAsia="Arial" w:hAnsi="Arial"/>
          <w:b/>
          <w:bCs/>
          <w:color w:val="561217"/>
          <w:sz w:val="26"/>
          <w:szCs w:val="26"/>
        </w:rPr>
        <w:t xml:space="preserve">2. Security Architecture</w:t>
      </w:r>
    </w:p>
    <w:p>
      <w:pPr>
        <w:keepNext/>
        <w:spacing w:after="120" w:before="240"/>
      </w:pPr>
      <w:r>
        <w:rPr>
          <w:rFonts w:ascii="Arial" w:cs="Arial" w:eastAsia="Arial" w:hAnsi="Arial"/>
          <w:b/>
          <w:bCs/>
          <w:color w:val="3B5937"/>
          <w:sz w:val="22"/>
          <w:szCs w:val="22"/>
        </w:rPr>
        <w:t xml:space="preserve">2.1 Authentication &amp; Access Control</w:t>
      </w:r>
    </w:p>
    <w:p>
      <w:pPr>
        <w:spacing w:after="120" w:before="60" w:line="320"/>
        <w:jc w:val="both"/>
      </w:pPr>
      <w:r>
        <w:rPr>
          <w:rFonts w:ascii="Arial" w:cs="Arial" w:eastAsia="Arial" w:hAnsi="Arial"/>
          <w:color w:val="1F1E1E"/>
          <w:sz w:val="22"/>
          <w:szCs w:val="22"/>
        </w:rPr>
        <w:t xml:space="preserve">The Foundation implements a defense-in-depth approach to authentication and access management:</w:t>
      </w:r>
    </w:p>
    <w:p>
      <w:pPr>
        <w:pStyle w:val="ListParagraph"/>
        <w:numPr>
          <w:ilvl w:val="0"/>
          <w:numId w:val="2"/>
        </w:numPr>
        <w:spacing w:after="40" w:before="40" w:line="300"/>
      </w:pPr>
      <w:r>
        <w:rPr>
          <w:rFonts w:ascii="Arial" w:cs="Arial" w:eastAsia="Arial" w:hAnsi="Arial"/>
          <w:b/>
          <w:bCs/>
          <w:color w:val="1F1E1E"/>
          <w:sz w:val="22"/>
          <w:szCs w:val="22"/>
        </w:rPr>
        <w:t xml:space="preserve">Password Policy.</w:t>
      </w:r>
      <w:r>
        <w:rPr>
          <w:rFonts w:ascii="Arial" w:cs="Arial" w:eastAsia="Arial" w:hAnsi="Arial"/>
          <w:color w:val="1F1E1E"/>
          <w:sz w:val="22"/>
          <w:szCs w:val="22"/>
        </w:rPr>
        <w:t xml:space="preserve"> Minimum 8-character passwords with strength scoring. The system evaluates length, character diversity (uppercase, lowercase, numeric, special characters), and provides real-time visual feedback during password creation.</w:t>
      </w:r>
    </w:p>
    <w:p>
      <w:pPr>
        <w:pStyle w:val="ListParagraph"/>
        <w:numPr>
          <w:ilvl w:val="0"/>
          <w:numId w:val="2"/>
        </w:numPr>
        <w:spacing w:after="40" w:before="40" w:line="300"/>
      </w:pPr>
      <w:r>
        <w:rPr>
          <w:rFonts w:ascii="Arial" w:cs="Arial" w:eastAsia="Arial" w:hAnsi="Arial"/>
          <w:b/>
          <w:bCs/>
          <w:color w:val="1F1E1E"/>
          <w:sz w:val="22"/>
          <w:szCs w:val="22"/>
        </w:rPr>
        <w:t xml:space="preserve">Session Management.</w:t>
      </w:r>
      <w:r>
        <w:rPr>
          <w:rFonts w:ascii="Arial" w:cs="Arial" w:eastAsia="Arial" w:hAnsi="Arial"/>
          <w:color w:val="1F1E1E"/>
          <w:sz w:val="22"/>
          <w:szCs w:val="22"/>
        </w:rPr>
        <w:t xml:space="preserve"> Inactive sessions are automatically terminated after a period defined by the current production configuration (currently 30 minutes; subject to update by the IT lead with notice in the Security Posture Statement). Sessions are managed through Supabase authentication with server-side token validation. Material changes to session timeout shall be reflected in this Policy at the next annual review.</w:t>
      </w:r>
    </w:p>
    <w:p>
      <w:pPr>
        <w:pStyle w:val="ListParagraph"/>
        <w:numPr>
          <w:ilvl w:val="0"/>
          <w:numId w:val="2"/>
        </w:numPr>
        <w:spacing w:after="40" w:before="40" w:line="300"/>
      </w:pPr>
      <w:r>
        <w:rPr>
          <w:rFonts w:ascii="Arial" w:cs="Arial" w:eastAsia="Arial" w:hAnsi="Arial"/>
          <w:b/>
          <w:bCs/>
          <w:color w:val="1F1E1E"/>
          <w:sz w:val="22"/>
          <w:szCs w:val="22"/>
        </w:rPr>
        <w:t xml:space="preserve">Rate Limiting.</w:t>
      </w:r>
      <w:r>
        <w:rPr>
          <w:rFonts w:ascii="Arial" w:cs="Arial" w:eastAsia="Arial" w:hAnsi="Arial"/>
          <w:color w:val="1F1E1E"/>
          <w:sz w:val="22"/>
          <w:szCs w:val="22"/>
        </w:rPr>
        <w:t xml:space="preserve"> Login attempts are rate-limited with exponential backoff after failed attempts (5-second initial delay, doubling per subsequent failure, up to 60-second maximum). Account lockout notification is displayed after excessive failures.</w:t>
      </w:r>
    </w:p>
    <w:p>
      <w:pPr>
        <w:pStyle w:val="ListParagraph"/>
        <w:numPr>
          <w:ilvl w:val="0"/>
          <w:numId w:val="2"/>
        </w:numPr>
        <w:spacing w:after="40" w:before="40" w:line="300"/>
      </w:pPr>
      <w:r>
        <w:rPr>
          <w:rFonts w:ascii="Arial" w:cs="Arial" w:eastAsia="Arial" w:hAnsi="Arial"/>
          <w:b/>
          <w:bCs/>
          <w:color w:val="1F1E1E"/>
          <w:sz w:val="22"/>
          <w:szCs w:val="22"/>
        </w:rPr>
        <w:t xml:space="preserve">Role-Based Access Control (RBAC).</w:t>
      </w:r>
      <w:r>
        <w:rPr>
          <w:rFonts w:ascii="Arial" w:cs="Arial" w:eastAsia="Arial" w:hAnsi="Arial"/>
          <w:color w:val="1F1E1E"/>
          <w:sz w:val="22"/>
          <w:szCs w:val="22"/>
        </w:rPr>
        <w:t xml:space="preserve"> Seven-tier role hierarchy (Visitor, Seed Member, Steward, Verifier, Community Lead, Admin, Super Admin), with granular permission gates enforced at both the UI and API level per the Foundation's three-axis taxonomy (Authorization Role / Membership Tier / Contribution Standing) documented in ADR-106. Each role has defined capabilities; role elevation requires administrative approval and is logged in the activity audit trail.</w:t>
      </w:r>
    </w:p>
    <w:p>
      <w:pPr>
        <w:pStyle w:val="ListParagraph"/>
        <w:numPr>
          <w:ilvl w:val="0"/>
          <w:numId w:val="2"/>
        </w:numPr>
        <w:spacing w:after="40" w:before="40" w:line="300"/>
      </w:pPr>
      <w:r>
        <w:rPr>
          <w:rFonts w:ascii="Arial" w:cs="Arial" w:eastAsia="Arial" w:hAnsi="Arial"/>
          <w:b/>
          <w:bCs/>
          <w:color w:val="1F1E1E"/>
          <w:sz w:val="22"/>
          <w:szCs w:val="22"/>
        </w:rPr>
        <w:t xml:space="preserve">Principle of Least Privilege.</w:t>
      </w:r>
      <w:r>
        <w:rPr>
          <w:rFonts w:ascii="Arial" w:cs="Arial" w:eastAsia="Arial" w:hAnsi="Arial"/>
          <w:color w:val="1F1E1E"/>
          <w:sz w:val="22"/>
          <w:szCs w:val="22"/>
        </w:rPr>
        <w:t xml:space="preserve"> Users are granted the minimum access necessary for their role. Role elevation requires administrative approval and is logged in the activity audit trail.</w:t>
      </w:r>
    </w:p>
    <w:p>
      <w:pPr>
        <w:keepNext/>
        <w:spacing w:after="120" w:before="240"/>
      </w:pPr>
      <w:r>
        <w:rPr>
          <w:rFonts w:ascii="Arial" w:cs="Arial" w:eastAsia="Arial" w:hAnsi="Arial"/>
          <w:b/>
          <w:bCs/>
          <w:color w:val="3B5937"/>
          <w:sz w:val="22"/>
          <w:szCs w:val="22"/>
        </w:rPr>
        <w:t xml:space="preserve">2.2 Transport &amp; Network Security</w:t>
      </w:r>
    </w:p>
    <w:p>
      <w:pPr>
        <w:spacing w:after="120" w:before="60" w:line="320"/>
        <w:jc w:val="both"/>
      </w:pPr>
      <w:r>
        <w:rPr>
          <w:rFonts w:ascii="Arial" w:cs="Arial" w:eastAsia="Arial" w:hAnsi="Arial"/>
          <w:color w:val="1F1E1E"/>
          <w:sz w:val="22"/>
          <w:szCs w:val="22"/>
        </w:rPr>
        <w:t xml:space="preserve">All data in transit is protected through industry-standard encryption and security headers: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Security Header</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Implementation</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HTTPS / HSTS</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Strict-Transport-Security with max-age=31536000 and includeSubDomains. All HTTP traffic redirected to HTTPS.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Content-Security-Policy</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Restrictive CSP limiting script sources, style sources, frame ancestors, and connection endpoints to approved domains only.</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X-Frame-Options</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Set to DENY to prevent clickjacking attacks via iframe embedding.</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X-Content-Type-Options</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Set to nosniff to prevent MIME-type sniffing attacks.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Referrer-Policy</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Set to strict-origin-when-cross-origin to limit referrer header leakage.</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X-XSS-Protection</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Enabled with mode=block for legacy browser XSS filtering.</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Permissions-Policy</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Restricts access to device APIs (camera, microphone, geolocation, etc.) to same-origin only.</w:t>
            </w:r>
          </w:p>
        </w:tc>
      </w:tr>
    </w:tbl>
    <w:p>
      <w:pPr>
        <w:keepNext/>
        <w:spacing w:after="120" w:before="240"/>
      </w:pPr>
      <w:r>
        <w:rPr>
          <w:rFonts w:ascii="Arial" w:cs="Arial" w:eastAsia="Arial" w:hAnsi="Arial"/>
          <w:b/>
          <w:bCs/>
          <w:color w:val="3B5937"/>
          <w:sz w:val="22"/>
          <w:szCs w:val="22"/>
        </w:rPr>
        <w:t xml:space="preserve">2.3 Data Storage &amp; Backend Security</w:t>
      </w:r>
    </w:p>
    <w:p>
      <w:pPr>
        <w:pStyle w:val="ListParagraph"/>
        <w:numPr>
          <w:ilvl w:val="0"/>
          <w:numId w:val="2"/>
        </w:numPr>
        <w:spacing w:after="40" w:before="40" w:line="300"/>
      </w:pPr>
      <w:r>
        <w:rPr>
          <w:rFonts w:ascii="Arial" w:cs="Arial" w:eastAsia="Arial" w:hAnsi="Arial"/>
          <w:b/>
          <w:bCs/>
          <w:color w:val="1F1E1E"/>
          <w:sz w:val="22"/>
          <w:szCs w:val="22"/>
        </w:rPr>
        <w:t xml:space="preserve">Database Platform.</w:t>
      </w:r>
      <w:r>
        <w:rPr>
          <w:rFonts w:ascii="Arial" w:cs="Arial" w:eastAsia="Arial" w:hAnsi="Arial"/>
          <w:color w:val="1F1E1E"/>
          <w:sz w:val="22"/>
          <w:szCs w:val="22"/>
        </w:rPr>
        <w:t xml:space="preserve"> All application data is stored in Supabase (PostgreSQL) with server-side encryption at rest.</w:t>
      </w:r>
    </w:p>
    <w:p>
      <w:pPr>
        <w:pStyle w:val="ListParagraph"/>
        <w:numPr>
          <w:ilvl w:val="0"/>
          <w:numId w:val="2"/>
        </w:numPr>
        <w:spacing w:after="40" w:before="40" w:line="300"/>
      </w:pPr>
      <w:r>
        <w:rPr>
          <w:rFonts w:ascii="Arial" w:cs="Arial" w:eastAsia="Arial" w:hAnsi="Arial"/>
          <w:b/>
          <w:bCs/>
          <w:color w:val="1F1E1E"/>
          <w:sz w:val="22"/>
          <w:szCs w:val="22"/>
        </w:rPr>
        <w:t xml:space="preserve">Row-Level Security (RLS).</w:t>
      </w:r>
      <w:r>
        <w:rPr>
          <w:rFonts w:ascii="Arial" w:cs="Arial" w:eastAsia="Arial" w:hAnsi="Arial"/>
          <w:color w:val="1F1E1E"/>
          <w:sz w:val="22"/>
          <w:szCs w:val="22"/>
        </w:rPr>
        <w:t xml:space="preserve"> Supabase RLS policies enforce data isolation at the database level. Users can only access records matching their authenticated identity and role permissions.</w:t>
      </w:r>
    </w:p>
    <w:p>
      <w:pPr>
        <w:pStyle w:val="ListParagraph"/>
        <w:numPr>
          <w:ilvl w:val="0"/>
          <w:numId w:val="2"/>
        </w:numPr>
        <w:spacing w:after="40" w:before="40" w:line="300"/>
      </w:pPr>
      <w:r>
        <w:rPr>
          <w:rFonts w:ascii="Arial" w:cs="Arial" w:eastAsia="Arial" w:hAnsi="Arial"/>
          <w:b/>
          <w:bCs/>
          <w:color w:val="1F1E1E"/>
          <w:sz w:val="22"/>
          <w:szCs w:val="22"/>
        </w:rPr>
        <w:t xml:space="preserve">API Security.</w:t>
      </w:r>
      <w:r>
        <w:rPr>
          <w:rFonts w:ascii="Arial" w:cs="Arial" w:eastAsia="Arial" w:hAnsi="Arial"/>
          <w:color w:val="1F1E1E"/>
          <w:sz w:val="22"/>
          <w:szCs w:val="22"/>
        </w:rPr>
        <w:t xml:space="preserve"> All API calls are authenticated via Supabase client tokens. Anonymous access is restricted to public-facing read operations only.</w:t>
      </w:r>
    </w:p>
    <w:p>
      <w:pPr>
        <w:pStyle w:val="ListParagraph"/>
        <w:numPr>
          <w:ilvl w:val="0"/>
          <w:numId w:val="2"/>
        </w:numPr>
        <w:spacing w:after="40" w:before="40" w:line="300"/>
      </w:pPr>
      <w:r>
        <w:rPr>
          <w:rFonts w:ascii="Arial" w:cs="Arial" w:eastAsia="Arial" w:hAnsi="Arial"/>
          <w:b/>
          <w:bCs/>
          <w:color w:val="1F1E1E"/>
          <w:sz w:val="22"/>
          <w:szCs w:val="22"/>
        </w:rPr>
        <w:t xml:space="preserve">Input Sanitization.</w:t>
      </w:r>
      <w:r>
        <w:rPr>
          <w:rFonts w:ascii="Arial" w:cs="Arial" w:eastAsia="Arial" w:hAnsi="Arial"/>
          <w:color w:val="1F1E1E"/>
          <w:sz w:val="22"/>
          <w:szCs w:val="22"/>
        </w:rPr>
        <w:t xml:space="preserve"> All user inputs are sanitized before database insertion to prevent SQL injection and cross-site scripting (XSS) attacks.</w:t>
      </w:r>
    </w:p>
    <w:p>
      <w:pPr>
        <w:keepNext/>
        <w:spacing w:after="160" w:before="360"/>
      </w:pPr>
      <w:r>
        <w:rPr>
          <w:rFonts w:ascii="Arial" w:cs="Arial" w:eastAsia="Arial" w:hAnsi="Arial"/>
          <w:b/>
          <w:bCs/>
          <w:color w:val="561217"/>
          <w:sz w:val="26"/>
          <w:szCs w:val="26"/>
        </w:rPr>
        <w:t xml:space="preserve">3. Data Privacy &amp; Protection</w:t>
      </w:r>
    </w:p>
    <w:p>
      <w:pPr>
        <w:keepNext/>
        <w:spacing w:after="120" w:before="240"/>
      </w:pPr>
      <w:r>
        <w:rPr>
          <w:rFonts w:ascii="Arial" w:cs="Arial" w:eastAsia="Arial" w:hAnsi="Arial"/>
          <w:b/>
          <w:bCs/>
          <w:color w:val="3B5937"/>
          <w:sz w:val="22"/>
          <w:szCs w:val="22"/>
        </w:rPr>
        <w:t xml:space="preserve">3.1 Personal Data Collection</w:t>
      </w:r>
    </w:p>
    <w:p>
      <w:pPr>
        <w:spacing w:after="120" w:before="60" w:line="320"/>
        <w:jc w:val="both"/>
      </w:pPr>
      <w:r>
        <w:rPr>
          <w:rFonts w:ascii="Arial" w:cs="Arial" w:eastAsia="Arial" w:hAnsi="Arial"/>
          <w:color w:val="1F1E1E"/>
          <w:sz w:val="22"/>
          <w:szCs w:val="22"/>
        </w:rPr>
        <w:t xml:space="preserve">The Foundation collects and processes personal data in accordance with the principle of data minimization, as detailed in Holon Foundation Policy No. 15 (Data Privacy and Security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Data Category</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Purpose</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Retention</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Account Information</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Authentication, communication, role assignment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Duration of account plus 30 days after deletion request</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Garden Location (GPS)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Garden verification, proximity search, impact mapping</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Duration of garden registration; anonymized after deactivation</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Verification Photos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Commitment verification evidence</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Duration of commitment lifecycle; deleted upon garden removal</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Activity Logs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Security audit trail, accountability</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12 months, then archived or purged</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Usage Analytics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Platform improvement, impact reporting</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Aggregated and anonymized; raw data retained 6 months</w:t>
            </w:r>
          </w:p>
        </w:tc>
      </w:tr>
    </w:tbl>
    <w:p>
      <w:pPr>
        <w:keepNext/>
        <w:spacing w:after="120" w:before="240"/>
      </w:pPr>
      <w:r>
        <w:rPr>
          <w:rFonts w:ascii="Arial" w:cs="Arial" w:eastAsia="Arial" w:hAnsi="Arial"/>
          <w:b/>
          <w:bCs/>
          <w:color w:val="3B5937"/>
          <w:sz w:val="22"/>
          <w:szCs w:val="22"/>
        </w:rPr>
        <w:t xml:space="preserve">3.2 Geolocation Data</w:t>
      </w:r>
    </w:p>
    <w:p>
      <w:pPr>
        <w:spacing w:after="120" w:before="60" w:line="320"/>
        <w:jc w:val="both"/>
      </w:pPr>
      <w:r>
        <w:rPr>
          <w:rFonts w:ascii="Arial" w:cs="Arial" w:eastAsia="Arial" w:hAnsi="Arial"/>
          <w:color w:val="1F1E1E"/>
          <w:sz w:val="22"/>
          <w:szCs w:val="22"/>
        </w:rPr>
        <w:t xml:space="preserve">The Foundation recognizes the sensitivity of geolocation data and implements the following protections:</w:t>
      </w:r>
    </w:p>
    <w:p>
      <w:pPr>
        <w:pStyle w:val="ListParagraph"/>
        <w:numPr>
          <w:ilvl w:val="0"/>
          <w:numId w:val="2"/>
        </w:numPr>
        <w:spacing w:after="40" w:before="40" w:line="300"/>
      </w:pPr>
      <w:r>
        <w:rPr>
          <w:rFonts w:ascii="Arial" w:cs="Arial" w:eastAsia="Arial" w:hAnsi="Arial"/>
          <w:b/>
          <w:bCs/>
          <w:color w:val="1F1E1E"/>
          <w:sz w:val="22"/>
          <w:szCs w:val="22"/>
        </w:rPr>
        <w:t xml:space="preserve">Informed Consent.</w:t>
      </w:r>
      <w:r>
        <w:rPr>
          <w:rFonts w:ascii="Arial" w:cs="Arial" w:eastAsia="Arial" w:hAnsi="Arial"/>
          <w:color w:val="1F1E1E"/>
          <w:sz w:val="22"/>
          <w:szCs w:val="22"/>
        </w:rPr>
        <w:t xml:space="preserve"> A dedicated geolocation consent modal explains what GPS data is used for, what is collected, and what is not done with the data. Consent is requested before any location access and is persisted locally.</w:t>
      </w:r>
    </w:p>
    <w:p>
      <w:pPr>
        <w:pStyle w:val="ListParagraph"/>
        <w:numPr>
          <w:ilvl w:val="0"/>
          <w:numId w:val="2"/>
        </w:numPr>
        <w:spacing w:after="40" w:before="40" w:line="300"/>
      </w:pPr>
      <w:r>
        <w:rPr>
          <w:rFonts w:ascii="Arial" w:cs="Arial" w:eastAsia="Arial" w:hAnsi="Arial"/>
          <w:b/>
          <w:bCs/>
          <w:color w:val="1F1E1E"/>
          <w:sz w:val="22"/>
          <w:szCs w:val="22"/>
        </w:rPr>
        <w:t xml:space="preserve">Purpose Limitation.</w:t>
      </w:r>
      <w:r>
        <w:rPr>
          <w:rFonts w:ascii="Arial" w:cs="Arial" w:eastAsia="Arial" w:hAnsi="Arial"/>
          <w:color w:val="1F1E1E"/>
          <w:sz w:val="22"/>
          <w:szCs w:val="22"/>
        </w:rPr>
        <w:t xml:space="preserve"> GPS coordinates are used solely for garden location registration, proximity-based features (Nearby Gardens), and impact area calculations. Location data is never sold, shared with third-party advertisers, or used for user tracking.</w:t>
      </w:r>
    </w:p>
    <w:p>
      <w:pPr>
        <w:pStyle w:val="ListParagraph"/>
        <w:numPr>
          <w:ilvl w:val="0"/>
          <w:numId w:val="2"/>
        </w:numPr>
        <w:spacing w:after="40" w:before="40" w:line="300"/>
      </w:pPr>
      <w:r>
        <w:rPr>
          <w:rFonts w:ascii="Arial" w:cs="Arial" w:eastAsia="Arial" w:hAnsi="Arial"/>
          <w:b/>
          <w:bCs/>
          <w:color w:val="1F1E1E"/>
          <w:sz w:val="22"/>
          <w:szCs w:val="22"/>
        </w:rPr>
        <w:t xml:space="preserve">Precision Control.</w:t>
      </w:r>
      <w:r>
        <w:rPr>
          <w:rFonts w:ascii="Arial" w:cs="Arial" w:eastAsia="Arial" w:hAnsi="Arial"/>
          <w:color w:val="1F1E1E"/>
          <w:sz w:val="22"/>
          <w:szCs w:val="22"/>
        </w:rPr>
        <w:t xml:space="preserve"> Public-facing proximity features use approximate distances (rounded to nearest 0.1 mile). Exact GPS coordinates are visible only to the garden steward and authorized verifiers.</w:t>
      </w:r>
    </w:p>
    <w:p>
      <w:pPr>
        <w:pStyle w:val="ListParagraph"/>
        <w:numPr>
          <w:ilvl w:val="0"/>
          <w:numId w:val="2"/>
        </w:numPr>
        <w:spacing w:after="40" w:before="40" w:line="300"/>
      </w:pPr>
      <w:r>
        <w:rPr>
          <w:rFonts w:ascii="Arial" w:cs="Arial" w:eastAsia="Arial" w:hAnsi="Arial"/>
          <w:b/>
          <w:bCs/>
          <w:color w:val="1F1E1E"/>
          <w:sz w:val="22"/>
          <w:szCs w:val="22"/>
        </w:rPr>
        <w:t xml:space="preserve">Revocation.</w:t>
      </w:r>
      <w:r>
        <w:rPr>
          <w:rFonts w:ascii="Arial" w:cs="Arial" w:eastAsia="Arial" w:hAnsi="Arial"/>
          <w:color w:val="1F1E1E"/>
          <w:sz w:val="22"/>
          <w:szCs w:val="22"/>
        </w:rPr>
        <w:t xml:space="preserve"> Users may revoke geolocation consent at any time through their browser settings. The Foundation provides clear instructions for consent withdrawal.</w:t>
      </w:r>
    </w:p>
    <w:p>
      <w:pPr>
        <w:keepNext/>
        <w:spacing w:after="120" w:before="240"/>
      </w:pPr>
      <w:r>
        <w:rPr>
          <w:rFonts w:ascii="Arial" w:cs="Arial" w:eastAsia="Arial" w:hAnsi="Arial"/>
          <w:b/>
          <w:bCs/>
          <w:color w:val="3B5937"/>
          <w:sz w:val="22"/>
          <w:szCs w:val="22"/>
        </w:rPr>
        <w:t xml:space="preserve">3.3 Cookie &amp; Tracking Policy</w:t>
      </w:r>
    </w:p>
    <w:p>
      <w:pPr>
        <w:spacing w:after="120" w:before="60" w:line="320"/>
        <w:jc w:val="both"/>
      </w:pPr>
      <w:r>
        <w:rPr>
          <w:rFonts w:ascii="Arial" w:cs="Arial" w:eastAsia="Arial" w:hAnsi="Arial"/>
          <w:color w:val="1F1E1E"/>
          <w:sz w:val="22"/>
          <w:szCs w:val="22"/>
        </w:rPr>
        <w:t xml:space="preserve">The Foundation website displays a cookie consent banner on first visit. The Foundation uses only essential cookies required for authentication and session management. No third-party tracking cookies, advertising pixels, or behavioral analytics scripts are deployed. The Foundation does not participate in cross-site tracking or data brokerage.</w:t>
      </w:r>
    </w:p>
    <w:p>
      <w:pPr>
        <w:keepNext/>
        <w:spacing w:after="120" w:before="240"/>
      </w:pPr>
      <w:r>
        <w:rPr>
          <w:rFonts w:ascii="Arial" w:cs="Arial" w:eastAsia="Arial" w:hAnsi="Arial"/>
          <w:b/>
          <w:bCs/>
          <w:color w:val="3B5937"/>
          <w:sz w:val="22"/>
          <w:szCs w:val="22"/>
        </w:rPr>
        <w:t xml:space="preserve">3.4 Minor Privacy</w:t>
      </w:r>
    </w:p>
    <w:p>
      <w:pPr>
        <w:spacing w:after="120" w:before="60" w:line="320"/>
        <w:jc w:val="both"/>
      </w:pPr>
      <w:r>
        <w:rPr>
          <w:rFonts w:ascii="Arial" w:cs="Arial" w:eastAsia="Arial" w:hAnsi="Arial"/>
          <w:color w:val="1F1E1E"/>
          <w:sz w:val="22"/>
          <w:szCs w:val="22"/>
        </w:rPr>
        <w:t xml:space="preserve">The Holon Foundation collects personal data from minors under specific circumstances and only with appropriate parental consent:</w:t>
      </w:r>
    </w:p>
    <w:p>
      <w:pPr>
        <w:spacing w:after="120" w:before="60" w:line="320"/>
        <w:jc w:val="both"/>
      </w:pPr>
      <w:r>
        <w:rPr>
          <w:rFonts w:ascii="Arial" w:cs="Arial" w:eastAsia="Arial" w:hAnsi="Arial"/>
          <w:color w:val="1F1E1E"/>
          <w:sz w:val="22"/>
          <w:szCs w:val="22"/>
        </w:rPr>
        <w:t xml:space="preserve">(a) The Trust Portal requires affirmation that the user is at least 13 years of age, and </w:t>
      </w:r>
      <w:r>
        <w:rPr>
          <w:rFonts w:ascii="Arial" w:cs="Arial" w:eastAsia="Arial" w:hAnsi="Arial"/>
          <w:b/>
          <w:bCs/>
          <w:color w:val="1F1E1E"/>
          <w:sz w:val="22"/>
          <w:szCs w:val="22"/>
        </w:rPr>
        <w:t xml:space="preserve">verifiable parental consent</w:t>
      </w:r>
      <w:r>
        <w:rPr>
          <w:rFonts w:ascii="Arial" w:cs="Arial" w:eastAsia="Arial" w:hAnsi="Arial"/>
          <w:color w:val="1F1E1E"/>
          <w:sz w:val="22"/>
          <w:szCs w:val="22"/>
        </w:rPr>
        <w:t xml:space="preserve"> before creating an account for any user under 18, consistent with the Texas SCOPE Act (Bus. &amp; Com. Code Ch. 509).</w:t>
      </w:r>
    </w:p>
    <w:p>
      <w:pPr>
        <w:spacing w:after="120" w:before="60" w:line="320"/>
        <w:jc w:val="both"/>
      </w:pPr>
      <w:r>
        <w:rPr>
          <w:rFonts w:ascii="Arial" w:cs="Arial" w:eastAsia="Arial" w:hAnsi="Arial"/>
          <w:color w:val="1F1E1E"/>
          <w:sz w:val="22"/>
          <w:szCs w:val="22"/>
        </w:rPr>
        <w:t xml:space="preserve">(b) For users under 13, the Foundation does not knowingly collect personal information except as permitted by COPPA, 15 U.S.C. § 6501, and with verifiable parental consent obtained through the Foundation's COPPA-compliant Parental Consent process.</w:t>
      </w:r>
    </w:p>
    <w:p>
      <w:pPr>
        <w:spacing w:after="120" w:before="60" w:line="320"/>
        <w:jc w:val="both"/>
      </w:pPr>
      <w:r>
        <w:rPr>
          <w:rFonts w:ascii="Arial" w:cs="Arial" w:eastAsia="Arial" w:hAnsi="Arial"/>
          <w:color w:val="1F1E1E"/>
          <w:sz w:val="22"/>
          <w:szCs w:val="22"/>
        </w:rPr>
        <w:t xml:space="preserve">(c) Parental consent is renewable annually and may be withdrawn at any time by the parent/guardian via privacy@holonfoundation.org.</w:t>
      </w:r>
    </w:p>
    <w:p>
      <w:pPr>
        <w:spacing w:after="120" w:before="60" w:line="320"/>
        <w:jc w:val="both"/>
      </w:pPr>
      <w:r>
        <w:rPr>
          <w:rFonts w:ascii="Arial" w:cs="Arial" w:eastAsia="Arial" w:hAnsi="Arial"/>
          <w:color w:val="1F1E1E"/>
          <w:sz w:val="22"/>
          <w:szCs w:val="22"/>
        </w:rPr>
        <w:t xml:space="preserve">(d) For known minors, default privacy settings are set to the most protective available; targeted advertising is prohibited; and data collection is limited to what is necessary to provide the requested service.</w:t>
      </w:r>
    </w:p>
    <w:p>
      <w:pPr>
        <w:spacing w:after="120" w:before="60" w:line="320"/>
        <w:jc w:val="both"/>
      </w:pPr>
      <w:r>
        <w:rPr>
          <w:rFonts w:ascii="Arial" w:cs="Arial" w:eastAsia="Arial" w:hAnsi="Arial"/>
          <w:color w:val="1F1E1E"/>
          <w:sz w:val="22"/>
          <w:szCs w:val="22"/>
        </w:rPr>
        <w:t xml:space="preserve">See also Holon Foundation Policy No. 31 (Child Safety) and Policy No. 32 (Youth Engagement).</w:t>
      </w:r>
    </w:p>
    <w:p>
      <w:pPr>
        <w:keepNext/>
        <w:spacing w:after="120" w:before="240"/>
      </w:pPr>
      <w:r>
        <w:rPr>
          <w:rFonts w:ascii="Arial" w:cs="Arial" w:eastAsia="Arial" w:hAnsi="Arial"/>
          <w:b/>
          <w:bCs/>
          <w:color w:val="3B5937"/>
          <w:sz w:val="22"/>
          <w:szCs w:val="22"/>
        </w:rPr>
        <w:t xml:space="preserve">3.5 Texas Data Privacy &amp; Security Act (TDPSA)</w:t>
      </w:r>
    </w:p>
    <w:p>
      <w:pPr>
        <w:spacing w:after="120" w:before="60" w:line="320"/>
        <w:jc w:val="both"/>
      </w:pPr>
      <w:r>
        <w:rPr>
          <w:rFonts w:ascii="Arial" w:cs="Arial" w:eastAsia="Arial" w:hAnsi="Arial"/>
          <w:color w:val="1F1E1E"/>
          <w:sz w:val="22"/>
          <w:szCs w:val="22"/>
        </w:rPr>
        <w:t xml:space="preserve">As a Texas-based organization, the Foundation recognizes the applicability of the TDPSA and commits to:</w:t>
      </w:r>
    </w:p>
    <w:p>
      <w:pPr>
        <w:pStyle w:val="ListParagraph"/>
        <w:numPr>
          <w:ilvl w:val="0"/>
          <w:numId w:val="2"/>
        </w:numPr>
        <w:spacing w:after="40" w:before="40" w:line="300"/>
      </w:pPr>
      <w:r>
        <w:rPr>
          <w:rFonts w:ascii="Arial" w:cs="Arial" w:eastAsia="Arial" w:hAnsi="Arial"/>
          <w:color w:val="1F1E1E"/>
          <w:sz w:val="22"/>
          <w:szCs w:val="22"/>
        </w:rPr>
        <w:t xml:space="preserve">Providing clear notice of data collection practices through our Privacy Policy</w:t>
      </w:r>
    </w:p>
    <w:p>
      <w:pPr>
        <w:pStyle w:val="ListParagraph"/>
        <w:numPr>
          <w:ilvl w:val="0"/>
          <w:numId w:val="2"/>
        </w:numPr>
        <w:spacing w:after="40" w:before="40" w:line="300"/>
      </w:pPr>
      <w:r>
        <w:rPr>
          <w:rFonts w:ascii="Arial" w:cs="Arial" w:eastAsia="Arial" w:hAnsi="Arial"/>
          <w:color w:val="1F1E1E"/>
          <w:sz w:val="22"/>
          <w:szCs w:val="22"/>
        </w:rPr>
        <w:t xml:space="preserve">Honoring data subject rights including the right to access, correct, delete, and obtain a copy of personal data</w:t>
      </w:r>
    </w:p>
    <w:p>
      <w:pPr>
        <w:pStyle w:val="ListParagraph"/>
        <w:numPr>
          <w:ilvl w:val="0"/>
          <w:numId w:val="2"/>
        </w:numPr>
        <w:spacing w:after="40" w:before="40" w:line="300"/>
      </w:pPr>
      <w:r>
        <w:rPr>
          <w:rFonts w:ascii="Arial" w:cs="Arial" w:eastAsia="Arial" w:hAnsi="Arial"/>
          <w:color w:val="1F1E1E"/>
          <w:sz w:val="22"/>
          <w:szCs w:val="22"/>
        </w:rPr>
        <w:t xml:space="preserve">Implementing reasonable data security practices proportionate to the sensitivity of data processed</w:t>
      </w:r>
    </w:p>
    <w:p>
      <w:pPr>
        <w:pStyle w:val="ListParagraph"/>
        <w:numPr>
          <w:ilvl w:val="0"/>
          <w:numId w:val="2"/>
        </w:numPr>
        <w:spacing w:after="40" w:before="40" w:line="300"/>
      </w:pPr>
      <w:r>
        <w:rPr>
          <w:rFonts w:ascii="Arial" w:cs="Arial" w:eastAsia="Arial" w:hAnsi="Arial"/>
          <w:color w:val="1F1E1E"/>
          <w:sz w:val="22"/>
          <w:szCs w:val="22"/>
        </w:rPr>
        <w:t xml:space="preserve">Not engaging in the sale of personal data or targeted advertising based on personal data</w:t>
      </w:r>
    </w:p>
    <w:p>
      <w:pPr>
        <w:keepNext/>
        <w:spacing w:after="160" w:before="360"/>
      </w:pPr>
      <w:r>
        <w:rPr>
          <w:rFonts w:ascii="Arial" w:cs="Arial" w:eastAsia="Arial" w:hAnsi="Arial"/>
          <w:b/>
          <w:bCs/>
          <w:color w:val="561217"/>
          <w:sz w:val="26"/>
          <w:szCs w:val="26"/>
        </w:rPr>
        <w:t xml:space="preserve">4. Accessibility Compliance</w:t>
      </w:r>
    </w:p>
    <w:p>
      <w:pPr>
        <w:keepNext/>
        <w:spacing w:after="120" w:before="240"/>
      </w:pPr>
      <w:r>
        <w:rPr>
          <w:rFonts w:ascii="Arial" w:cs="Arial" w:eastAsia="Arial" w:hAnsi="Arial"/>
          <w:b/>
          <w:bCs/>
          <w:color w:val="3B5937"/>
          <w:sz w:val="22"/>
          <w:szCs w:val="22"/>
        </w:rPr>
        <w:t xml:space="preserve">4.1 Standards &amp; Legal Requirements</w:t>
      </w:r>
    </w:p>
    <w:p>
      <w:pPr>
        <w:spacing w:after="120" w:before="60" w:line="320"/>
        <w:jc w:val="both"/>
      </w:pPr>
      <w:r>
        <w:rPr>
          <w:rFonts w:ascii="Arial" w:cs="Arial" w:eastAsia="Arial" w:hAnsi="Arial"/>
          <w:color w:val="1F1E1E"/>
          <w:sz w:val="22"/>
          <w:szCs w:val="22"/>
        </w:rPr>
        <w:t xml:space="preserve">The Holon Foundation website and Trust Portal are designed to conform to the Web Content Accessibility Guidelines (</w:t>
      </w:r>
      <w:r>
        <w:rPr>
          <w:rFonts w:ascii="Arial" w:cs="Arial" w:eastAsia="Arial" w:hAnsi="Arial"/>
          <w:b/>
          <w:bCs/>
          <w:color w:val="1F1E1E"/>
          <w:sz w:val="22"/>
          <w:szCs w:val="22"/>
        </w:rPr>
        <w:t xml:space="preserve">WCAG) 2.2, Level AA</w:t>
      </w:r>
      <w:r>
        <w:rPr>
          <w:rFonts w:ascii="Arial" w:cs="Arial" w:eastAsia="Arial" w:hAnsi="Arial"/>
          <w:color w:val="1F1E1E"/>
          <w:sz w:val="22"/>
          <w:szCs w:val="22"/>
        </w:rPr>
        <w:t xml:space="preserve">, as established by the World Wide Web Consortium (W3C) (October 5, 2023). WCAG 2.2 incorporates all WCAG 2.1 Level AA success criteria plus the following additions material to the Foundation's services:</w:t>
      </w:r>
    </w:p>
    <w:p>
      <w:pPr>
        <w:pStyle w:val="ListParagraph"/>
        <w:numPr>
          <w:ilvl w:val="0"/>
          <w:numId w:val="2"/>
        </w:numPr>
        <w:spacing w:after="40" w:before="40" w:line="300"/>
      </w:pPr>
      <w:r>
        <w:rPr>
          <w:rFonts w:ascii="Arial" w:cs="Arial" w:eastAsia="Arial" w:hAnsi="Arial"/>
          <w:color w:val="1F1E1E"/>
          <w:sz w:val="22"/>
          <w:szCs w:val="22"/>
        </w:rPr>
        <w:t xml:space="preserve">2.4.11 Focus Not Obscured (Minimum)</w:t>
      </w:r>
    </w:p>
    <w:p>
      <w:pPr>
        <w:pStyle w:val="ListParagraph"/>
        <w:numPr>
          <w:ilvl w:val="0"/>
          <w:numId w:val="2"/>
        </w:numPr>
        <w:spacing w:after="40" w:before="40" w:line="300"/>
      </w:pPr>
      <w:r>
        <w:rPr>
          <w:rFonts w:ascii="Arial" w:cs="Arial" w:eastAsia="Arial" w:hAnsi="Arial"/>
          <w:color w:val="1F1E1E"/>
          <w:sz w:val="22"/>
          <w:szCs w:val="22"/>
        </w:rPr>
        <w:t xml:space="preserve">2.4.12 Focus Not Obscured (Enhanced)</w:t>
      </w:r>
    </w:p>
    <w:p>
      <w:pPr>
        <w:pStyle w:val="ListParagraph"/>
        <w:numPr>
          <w:ilvl w:val="0"/>
          <w:numId w:val="2"/>
        </w:numPr>
        <w:spacing w:after="40" w:before="40" w:line="300"/>
      </w:pPr>
      <w:r>
        <w:rPr>
          <w:rFonts w:ascii="Arial" w:cs="Arial" w:eastAsia="Arial" w:hAnsi="Arial"/>
          <w:color w:val="1F1E1E"/>
          <w:sz w:val="22"/>
          <w:szCs w:val="22"/>
        </w:rPr>
        <w:t xml:space="preserve">2.5.7 Dragging Movements</w:t>
      </w:r>
    </w:p>
    <w:p>
      <w:pPr>
        <w:pStyle w:val="ListParagraph"/>
        <w:numPr>
          <w:ilvl w:val="0"/>
          <w:numId w:val="2"/>
        </w:numPr>
        <w:spacing w:after="40" w:before="40" w:line="300"/>
      </w:pPr>
      <w:r>
        <w:rPr>
          <w:rFonts w:ascii="Arial" w:cs="Arial" w:eastAsia="Arial" w:hAnsi="Arial"/>
          <w:color w:val="1F1E1E"/>
          <w:sz w:val="22"/>
          <w:szCs w:val="22"/>
        </w:rPr>
        <w:t xml:space="preserve">2.5.8 Target Size (Minimum)</w:t>
      </w:r>
    </w:p>
    <w:p>
      <w:pPr>
        <w:pStyle w:val="ListParagraph"/>
        <w:numPr>
          <w:ilvl w:val="0"/>
          <w:numId w:val="2"/>
        </w:numPr>
        <w:spacing w:after="40" w:before="40" w:line="300"/>
      </w:pPr>
      <w:r>
        <w:rPr>
          <w:rFonts w:ascii="Arial" w:cs="Arial" w:eastAsia="Arial" w:hAnsi="Arial"/>
          <w:color w:val="1F1E1E"/>
          <w:sz w:val="22"/>
          <w:szCs w:val="22"/>
        </w:rPr>
        <w:t xml:space="preserve">3.2.6 Consistent Help</w:t>
      </w:r>
    </w:p>
    <w:p>
      <w:pPr>
        <w:pStyle w:val="ListParagraph"/>
        <w:numPr>
          <w:ilvl w:val="0"/>
          <w:numId w:val="2"/>
        </w:numPr>
        <w:spacing w:after="40" w:before="40" w:line="300"/>
      </w:pPr>
      <w:r>
        <w:rPr>
          <w:rFonts w:ascii="Arial" w:cs="Arial" w:eastAsia="Arial" w:hAnsi="Arial"/>
          <w:color w:val="1F1E1E"/>
          <w:sz w:val="22"/>
          <w:szCs w:val="22"/>
        </w:rPr>
        <w:t xml:space="preserve">3.3.7 Redundant Entry</w:t>
      </w:r>
    </w:p>
    <w:p>
      <w:pPr>
        <w:pStyle w:val="ListParagraph"/>
        <w:numPr>
          <w:ilvl w:val="0"/>
          <w:numId w:val="2"/>
        </w:numPr>
        <w:spacing w:after="40" w:before="40" w:line="300"/>
      </w:pPr>
      <w:r>
        <w:rPr>
          <w:rFonts w:ascii="Arial" w:cs="Arial" w:eastAsia="Arial" w:hAnsi="Arial"/>
          <w:color w:val="1F1E1E"/>
          <w:sz w:val="22"/>
          <w:szCs w:val="22"/>
        </w:rPr>
        <w:t xml:space="preserve">3.3.8 Accessible Authentication (Minimum)</w:t>
      </w:r>
    </w:p>
    <w:p>
      <w:pPr>
        <w:pStyle w:val="ListParagraph"/>
        <w:numPr>
          <w:ilvl w:val="0"/>
          <w:numId w:val="2"/>
        </w:numPr>
        <w:spacing w:after="40" w:before="40" w:line="300"/>
      </w:pPr>
      <w:r>
        <w:rPr>
          <w:rFonts w:ascii="Arial" w:cs="Arial" w:eastAsia="Arial" w:hAnsi="Arial"/>
          <w:color w:val="1F1E1E"/>
          <w:sz w:val="22"/>
          <w:szCs w:val="22"/>
        </w:rPr>
        <w:t xml:space="preserve">3.3.9 Accessible Authentication (Enhanced)</w:t>
      </w:r>
    </w:p>
    <w:p>
      <w:pPr>
        <w:spacing w:after="120" w:before="60" w:line="320"/>
        <w:jc w:val="both"/>
      </w:pPr>
      <w:r>
        <w:rPr>
          <w:rFonts w:ascii="Arial" w:cs="Arial" w:eastAsia="Arial" w:hAnsi="Arial"/>
          <w:color w:val="1F1E1E"/>
          <w:sz w:val="22"/>
          <w:szCs w:val="22"/>
        </w:rPr>
        <w:t xml:space="preserve">This standard is referenced in the U.S. Department of Justice Final Rule on Title II Web and Mobile App Accessibility (April 24, 2024) and serves as the de facto benchmark for Title III adjacent obligations and for Section 504 / 508 compliance where applicable.</w:t>
      </w:r>
    </w:p>
    <w:p>
      <w:pPr>
        <w:keepNext/>
        <w:spacing w:after="120" w:before="240"/>
      </w:pPr>
      <w:r>
        <w:rPr>
          <w:rFonts w:ascii="Arial" w:cs="Arial" w:eastAsia="Arial" w:hAnsi="Arial"/>
          <w:b/>
          <w:bCs/>
          <w:color w:val="3B5937"/>
          <w:sz w:val="22"/>
          <w:szCs w:val="22"/>
        </w:rPr>
        <w:t xml:space="preserve">4.2 Implemented Accessibility Features</w:t>
      </w:r>
    </w:p>
    <w:p>
      <w:pPr>
        <w:spacing w:after="120" w:before="60" w:line="320"/>
        <w:jc w:val="both"/>
      </w:pPr>
      <w:r>
        <w:rPr>
          <w:rFonts w:ascii="Arial" w:cs="Arial" w:eastAsia="Arial" w:hAnsi="Arial"/>
          <w:color w:val="1F1E1E"/>
          <w:sz w:val="22"/>
          <w:szCs w:val="22"/>
        </w:rPr>
        <w:t xml:space="preserve">The following accessibility features are currently implemented across all Foundation web properties:</w:t>
      </w:r>
    </w:p>
    <w:p>
      <w:pPr>
        <w:spacing w:after="120" w:before="60" w:line="320"/>
        <w:jc w:val="both"/>
      </w:pPr>
      <w:r>
        <w:rPr>
          <w:rFonts w:ascii="Arial" w:cs="Arial" w:eastAsia="Arial" w:hAnsi="Arial"/>
          <w:b/>
          <w:bCs/>
          <w:color w:val="1F1E1E"/>
          <w:sz w:val="22"/>
          <w:szCs w:val="22"/>
        </w:rPr>
        <w:t xml:space="preserve">Navigation &amp; Structure</w:t>
      </w:r>
    </w:p>
    <w:p>
      <w:pPr>
        <w:pStyle w:val="ListParagraph"/>
        <w:numPr>
          <w:ilvl w:val="0"/>
          <w:numId w:val="2"/>
        </w:numPr>
        <w:spacing w:after="40" w:before="40" w:line="300"/>
      </w:pPr>
      <w:r>
        <w:rPr>
          <w:rFonts w:ascii="Arial" w:cs="Arial" w:eastAsia="Arial" w:hAnsi="Arial"/>
          <w:color w:val="1F1E1E"/>
          <w:sz w:val="22"/>
          <w:szCs w:val="22"/>
        </w:rPr>
        <w:t xml:space="preserve">Skip-to-content links on all pages for keyboard users to bypass repetitive navigation</w:t>
      </w:r>
    </w:p>
    <w:p>
      <w:pPr>
        <w:pStyle w:val="ListParagraph"/>
        <w:numPr>
          <w:ilvl w:val="0"/>
          <w:numId w:val="2"/>
        </w:numPr>
        <w:spacing w:after="40" w:before="40" w:line="300"/>
      </w:pPr>
      <w:r>
        <w:rPr>
          <w:rFonts w:ascii="Arial" w:cs="Arial" w:eastAsia="Arial" w:hAnsi="Arial"/>
          <w:color w:val="1F1E1E"/>
          <w:sz w:val="22"/>
          <w:szCs w:val="22"/>
        </w:rPr>
        <w:t xml:space="preserve">Semantic HTML with proper heading hierarchy (h1 through h6)</w:t>
      </w:r>
    </w:p>
    <w:p>
      <w:pPr>
        <w:pStyle w:val="ListParagraph"/>
        <w:numPr>
          <w:ilvl w:val="0"/>
          <w:numId w:val="2"/>
        </w:numPr>
        <w:spacing w:after="40" w:before="40" w:line="300"/>
      </w:pPr>
      <w:r>
        <w:rPr>
          <w:rFonts w:ascii="Arial" w:cs="Arial" w:eastAsia="Arial" w:hAnsi="Arial"/>
          <w:color w:val="1F1E1E"/>
          <w:sz w:val="22"/>
          <w:szCs w:val="22"/>
        </w:rPr>
        <w:t xml:space="preserve">ARIA landmarks (navigation, main, contentinfo) for screen reader orientation</w:t>
      </w:r>
    </w:p>
    <w:p>
      <w:pPr>
        <w:pStyle w:val="ListParagraph"/>
        <w:numPr>
          <w:ilvl w:val="0"/>
          <w:numId w:val="2"/>
        </w:numPr>
        <w:spacing w:after="40" w:before="40" w:line="300"/>
      </w:pPr>
      <w:r>
        <w:rPr>
          <w:rFonts w:ascii="Arial" w:cs="Arial" w:eastAsia="Arial" w:hAnsi="Arial"/>
          <w:color w:val="1F1E1E"/>
          <w:sz w:val="22"/>
          <w:szCs w:val="22"/>
        </w:rPr>
        <w:t xml:space="preserve">Language attribute (lang="en") set on all pages</w:t>
      </w:r>
    </w:p>
    <w:p>
      <w:pPr>
        <w:spacing w:after="120" w:before="60" w:line="320"/>
        <w:jc w:val="both"/>
      </w:pPr>
      <w:r>
        <w:rPr>
          <w:rFonts w:ascii="Arial" w:cs="Arial" w:eastAsia="Arial" w:hAnsi="Arial"/>
          <w:b/>
          <w:bCs/>
          <w:color w:val="1F1E1E"/>
          <w:sz w:val="22"/>
          <w:szCs w:val="22"/>
        </w:rPr>
        <w:t xml:space="preserve">Interactive Elements</w:t>
      </w:r>
    </w:p>
    <w:p>
      <w:pPr>
        <w:pStyle w:val="ListParagraph"/>
        <w:numPr>
          <w:ilvl w:val="0"/>
          <w:numId w:val="2"/>
        </w:numPr>
        <w:spacing w:after="40" w:before="40" w:line="300"/>
      </w:pPr>
      <w:r>
        <w:rPr>
          <w:rFonts w:ascii="Arial" w:cs="Arial" w:eastAsia="Arial" w:hAnsi="Arial"/>
          <w:color w:val="1F1E1E"/>
          <w:sz w:val="22"/>
          <w:szCs w:val="22"/>
        </w:rPr>
        <w:t xml:space="preserve">Full keyboard operability for all interactive features</w:t>
      </w:r>
    </w:p>
    <w:p>
      <w:pPr>
        <w:pStyle w:val="ListParagraph"/>
        <w:numPr>
          <w:ilvl w:val="0"/>
          <w:numId w:val="2"/>
        </w:numPr>
        <w:spacing w:after="40" w:before="40" w:line="300"/>
      </w:pPr>
      <w:r>
        <w:rPr>
          <w:rFonts w:ascii="Arial" w:cs="Arial" w:eastAsia="Arial" w:hAnsi="Arial"/>
          <w:color w:val="1F1E1E"/>
          <w:sz w:val="22"/>
          <w:szCs w:val="22"/>
        </w:rPr>
        <w:t xml:space="preserve">Visible focus indicators using :focus-visible on all interactive elements</w:t>
      </w:r>
    </w:p>
    <w:p>
      <w:pPr>
        <w:pStyle w:val="ListParagraph"/>
        <w:numPr>
          <w:ilvl w:val="0"/>
          <w:numId w:val="2"/>
        </w:numPr>
        <w:spacing w:after="40" w:before="40" w:line="300"/>
      </w:pPr>
      <w:r>
        <w:rPr>
          <w:rFonts w:ascii="Arial" w:cs="Arial" w:eastAsia="Arial" w:hAnsi="Arial"/>
          <w:color w:val="1F1E1E"/>
          <w:sz w:val="22"/>
          <w:szCs w:val="22"/>
        </w:rPr>
        <w:t xml:space="preserve">ARIA attributes on dialogs, modals, tabs, and alerts (role, aria-label, aria-modal, aria-live)</w:t>
      </w:r>
    </w:p>
    <w:p>
      <w:pPr>
        <w:pStyle w:val="ListParagraph"/>
        <w:numPr>
          <w:ilvl w:val="0"/>
          <w:numId w:val="2"/>
        </w:numPr>
        <w:spacing w:after="40" w:before="40" w:line="300"/>
      </w:pPr>
      <w:r>
        <w:rPr>
          <w:rFonts w:ascii="Arial" w:cs="Arial" w:eastAsia="Arial" w:hAnsi="Arial"/>
          <w:color w:val="1F1E1E"/>
          <w:sz w:val="22"/>
          <w:szCs w:val="22"/>
        </w:rPr>
        <w:t xml:space="preserve">Minimum 44×44 pixel touch targets on mobile devices</w:t>
      </w:r>
    </w:p>
    <w:p>
      <w:pPr>
        <w:pStyle w:val="ListParagraph"/>
        <w:numPr>
          <w:ilvl w:val="0"/>
          <w:numId w:val="2"/>
        </w:numPr>
        <w:spacing w:after="40" w:before="40" w:line="300"/>
      </w:pPr>
      <w:r>
        <w:rPr>
          <w:rFonts w:ascii="Arial" w:cs="Arial" w:eastAsia="Arial" w:hAnsi="Arial"/>
          <w:color w:val="1F1E1E"/>
          <w:sz w:val="22"/>
          <w:szCs w:val="22"/>
        </w:rPr>
        <w:t xml:space="preserve">Form labels associated with inputs, error messages with role="alert", and aria-describedby for password requirements</w:t>
      </w:r>
    </w:p>
    <w:p>
      <w:pPr>
        <w:pStyle w:val="ListParagraph"/>
        <w:numPr>
          <w:ilvl w:val="0"/>
          <w:numId w:val="2"/>
        </w:numPr>
        <w:spacing w:after="40" w:before="40" w:line="300"/>
      </w:pPr>
      <w:r>
        <w:rPr>
          <w:rFonts w:ascii="Arial" w:cs="Arial" w:eastAsia="Arial" w:hAnsi="Arial"/>
          <w:color w:val="1F1E1E"/>
          <w:sz w:val="22"/>
          <w:szCs w:val="22"/>
        </w:rPr>
        <w:t xml:space="preserve">Screen reader announcement system (aria-live region) for dynamic content updates</w:t>
      </w:r>
    </w:p>
    <w:p>
      <w:pPr>
        <w:spacing w:after="120" w:before="60" w:line="320"/>
        <w:jc w:val="both"/>
      </w:pPr>
      <w:r>
        <w:rPr>
          <w:rFonts w:ascii="Arial" w:cs="Arial" w:eastAsia="Arial" w:hAnsi="Arial"/>
          <w:b/>
          <w:bCs/>
          <w:color w:val="1F1E1E"/>
          <w:sz w:val="22"/>
          <w:szCs w:val="22"/>
        </w:rPr>
        <w:t xml:space="preserve">Visual Design</w:t>
      </w:r>
    </w:p>
    <w:p>
      <w:pPr>
        <w:pStyle w:val="ListParagraph"/>
        <w:numPr>
          <w:ilvl w:val="0"/>
          <w:numId w:val="2"/>
        </w:numPr>
        <w:spacing w:after="40" w:before="40" w:line="300"/>
      </w:pPr>
      <w:r>
        <w:rPr>
          <w:rFonts w:ascii="Arial" w:cs="Arial" w:eastAsia="Arial" w:hAnsi="Arial"/>
          <w:color w:val="1F1E1E"/>
          <w:sz w:val="22"/>
          <w:szCs w:val="22"/>
        </w:rPr>
        <w:t xml:space="preserve">Color contrast ratios meeting WCAG AA requirements for text and interactive elements</w:t>
      </w:r>
    </w:p>
    <w:p>
      <w:pPr>
        <w:pStyle w:val="ListParagraph"/>
        <w:numPr>
          <w:ilvl w:val="0"/>
          <w:numId w:val="2"/>
        </w:numPr>
        <w:spacing w:after="40" w:before="40" w:line="300"/>
      </w:pPr>
      <w:r>
        <w:rPr>
          <w:rFonts w:ascii="Arial" w:cs="Arial" w:eastAsia="Arial" w:hAnsi="Arial"/>
          <w:color w:val="1F1E1E"/>
          <w:sz w:val="22"/>
          <w:szCs w:val="22"/>
        </w:rPr>
        <w:t xml:space="preserve">Accessible dark mode toggle with appropriate contrast adjustments</w:t>
      </w:r>
    </w:p>
    <w:p>
      <w:pPr>
        <w:pStyle w:val="ListParagraph"/>
        <w:numPr>
          <w:ilvl w:val="0"/>
          <w:numId w:val="2"/>
        </w:numPr>
        <w:spacing w:after="40" w:before="40" w:line="300"/>
      </w:pPr>
      <w:r>
        <w:rPr>
          <w:rFonts w:ascii="Arial" w:cs="Arial" w:eastAsia="Arial" w:hAnsi="Arial"/>
          <w:color w:val="1F1E1E"/>
          <w:sz w:val="22"/>
          <w:szCs w:val="22"/>
        </w:rPr>
        <w:t xml:space="preserve">Descriptive alternative text on all meaningful images</w:t>
      </w:r>
    </w:p>
    <w:p>
      <w:pPr>
        <w:pStyle w:val="ListParagraph"/>
        <w:numPr>
          <w:ilvl w:val="0"/>
          <w:numId w:val="2"/>
        </w:numPr>
        <w:spacing w:after="40" w:before="40" w:line="300"/>
      </w:pPr>
      <w:r>
        <w:rPr>
          <w:rFonts w:ascii="Arial" w:cs="Arial" w:eastAsia="Arial" w:hAnsi="Arial"/>
          <w:color w:val="1F1E1E"/>
          <w:sz w:val="22"/>
          <w:szCs w:val="22"/>
        </w:rPr>
        <w:t xml:space="preserve">Responsive design with content reflow for screen magnification up to 200%</w:t>
      </w:r>
    </w:p>
    <w:p>
      <w:pPr>
        <w:spacing w:after="120" w:before="60" w:line="320"/>
        <w:jc w:val="both"/>
      </w:pPr>
      <w:r>
        <w:rPr>
          <w:rFonts w:ascii="Arial" w:cs="Arial" w:eastAsia="Arial" w:hAnsi="Arial"/>
          <w:b/>
          <w:bCs/>
          <w:color w:val="1F1E1E"/>
          <w:sz w:val="22"/>
          <w:szCs w:val="22"/>
        </w:rPr>
        <w:t xml:space="preserve">Multilingual Support</w:t>
      </w:r>
    </w:p>
    <w:p>
      <w:pPr>
        <w:pStyle w:val="ListParagraph"/>
        <w:numPr>
          <w:ilvl w:val="0"/>
          <w:numId w:val="2"/>
        </w:numPr>
        <w:spacing w:after="40" w:before="40" w:line="300"/>
      </w:pPr>
      <w:r>
        <w:rPr>
          <w:rFonts w:ascii="Arial" w:cs="Arial" w:eastAsia="Arial" w:hAnsi="Arial"/>
          <w:color w:val="1F1E1E"/>
          <w:sz w:val="22"/>
          <w:szCs w:val="22"/>
        </w:rPr>
        <w:t xml:space="preserve">English, Spanish, and Italian language options</w:t>
      </w:r>
    </w:p>
    <w:p>
      <w:pPr>
        <w:pStyle w:val="ListParagraph"/>
        <w:numPr>
          <w:ilvl w:val="0"/>
          <w:numId w:val="2"/>
        </w:numPr>
        <w:spacing w:after="40" w:before="40" w:line="300"/>
      </w:pPr>
      <w:r>
        <w:rPr>
          <w:rFonts w:ascii="Arial" w:cs="Arial" w:eastAsia="Arial" w:hAnsi="Arial"/>
          <w:color w:val="1F1E1E"/>
          <w:sz w:val="22"/>
          <w:szCs w:val="22"/>
        </w:rPr>
        <w:t xml:space="preserve">Keyboard-accessible language switcher</w:t>
      </w:r>
    </w:p>
    <w:p>
      <w:pPr>
        <w:keepNext/>
        <w:spacing w:after="120" w:before="240"/>
      </w:pPr>
      <w:r>
        <w:rPr>
          <w:rFonts w:ascii="Arial" w:cs="Arial" w:eastAsia="Arial" w:hAnsi="Arial"/>
          <w:b/>
          <w:bCs/>
          <w:color w:val="3B5937"/>
          <w:sz w:val="22"/>
          <w:szCs w:val="22"/>
        </w:rPr>
        <w:t xml:space="preserve">4.3 Assistive Technology Compatibility</w:t>
      </w:r>
    </w:p>
    <w:p>
      <w:pPr>
        <w:spacing w:after="120" w:before="60" w:line="320"/>
        <w:jc w:val="both"/>
      </w:pPr>
      <w:r>
        <w:rPr>
          <w:rFonts w:ascii="Arial" w:cs="Arial" w:eastAsia="Arial" w:hAnsi="Arial"/>
          <w:color w:val="1F1E1E"/>
          <w:sz w:val="22"/>
          <w:szCs w:val="22"/>
        </w:rPr>
        <w:t xml:space="preserve">The Foundation website is designed to be compatible with:</w:t>
      </w:r>
    </w:p>
    <w:p>
      <w:pPr>
        <w:pStyle w:val="ListParagraph"/>
        <w:numPr>
          <w:ilvl w:val="0"/>
          <w:numId w:val="2"/>
        </w:numPr>
        <w:spacing w:after="40" w:before="40" w:line="300"/>
      </w:pPr>
      <w:r>
        <w:rPr>
          <w:rFonts w:ascii="Arial" w:cs="Arial" w:eastAsia="Arial" w:hAnsi="Arial"/>
          <w:color w:val="1F1E1E"/>
          <w:sz w:val="22"/>
          <w:szCs w:val="22"/>
        </w:rPr>
        <w:t xml:space="preserve">Screen readers: NVDA, JAWS, VoiceOver, TalkBack</w:t>
      </w:r>
    </w:p>
    <w:p>
      <w:pPr>
        <w:pStyle w:val="ListParagraph"/>
        <w:numPr>
          <w:ilvl w:val="0"/>
          <w:numId w:val="2"/>
        </w:numPr>
        <w:spacing w:after="40" w:before="40" w:line="300"/>
      </w:pPr>
      <w:r>
        <w:rPr>
          <w:rFonts w:ascii="Arial" w:cs="Arial" w:eastAsia="Arial" w:hAnsi="Arial"/>
          <w:color w:val="1F1E1E"/>
          <w:sz w:val="22"/>
          <w:szCs w:val="22"/>
        </w:rPr>
        <w:t xml:space="preserve">Screen magnification software</w:t>
      </w:r>
    </w:p>
    <w:p>
      <w:pPr>
        <w:pStyle w:val="ListParagraph"/>
        <w:numPr>
          <w:ilvl w:val="0"/>
          <w:numId w:val="2"/>
        </w:numPr>
        <w:spacing w:after="40" w:before="40" w:line="300"/>
      </w:pPr>
      <w:r>
        <w:rPr>
          <w:rFonts w:ascii="Arial" w:cs="Arial" w:eastAsia="Arial" w:hAnsi="Arial"/>
          <w:color w:val="1F1E1E"/>
          <w:sz w:val="22"/>
          <w:szCs w:val="22"/>
        </w:rPr>
        <w:t xml:space="preserve">Speech recognition software</w:t>
      </w:r>
    </w:p>
    <w:p>
      <w:pPr>
        <w:pStyle w:val="ListParagraph"/>
        <w:numPr>
          <w:ilvl w:val="0"/>
          <w:numId w:val="2"/>
        </w:numPr>
        <w:spacing w:after="40" w:before="40" w:line="300"/>
      </w:pPr>
      <w:r>
        <w:rPr>
          <w:rFonts w:ascii="Arial" w:cs="Arial" w:eastAsia="Arial" w:hAnsi="Arial"/>
          <w:color w:val="1F1E1E"/>
          <w:sz w:val="22"/>
          <w:szCs w:val="22"/>
        </w:rPr>
        <w:t xml:space="preserve">Alternative keyboard and switch devices</w:t>
      </w:r>
    </w:p>
    <w:p>
      <w:pPr>
        <w:keepNext/>
        <w:spacing w:after="120" w:before="240"/>
      </w:pPr>
      <w:r>
        <w:rPr>
          <w:rFonts w:ascii="Arial" w:cs="Arial" w:eastAsia="Arial" w:hAnsi="Arial"/>
          <w:b/>
          <w:bCs/>
          <w:color w:val="3B5937"/>
          <w:sz w:val="22"/>
          <w:szCs w:val="22"/>
        </w:rPr>
        <w:t xml:space="preserve">4.4 Known Limitations &amp; Remediation Plan</w:t>
      </w:r>
    </w:p>
    <w:p>
      <w:pPr>
        <w:spacing w:after="120" w:before="60" w:line="320"/>
        <w:jc w:val="both"/>
      </w:pPr>
      <w:r>
        <w:rPr>
          <w:rFonts w:ascii="Arial" w:cs="Arial" w:eastAsia="Arial" w:hAnsi="Arial"/>
          <w:color w:val="1F1E1E"/>
          <w:sz w:val="22"/>
          <w:szCs w:val="22"/>
        </w:rPr>
        <w:t xml:space="preserve">The Foundation maintains transparency about accessibility limitations and actively works to resolve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Limitation</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Status</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Target Resolution</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Comprehensive screen reader testing across all interactive dashboards and verification workflows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In Progress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Q2 2026</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Enhanced ARIA attributes for dynamic content updates in the impact dashboard</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In Progress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Q2 2026</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Full keyboard navigation audit of GPS-based garden mapping features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In Progress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Q2 2026</w:t>
            </w:r>
          </w:p>
        </w:tc>
      </w:tr>
    </w:tbl>
    <w:p>
      <w:pPr>
        <w:keepNext/>
        <w:spacing w:after="120" w:before="240"/>
      </w:pPr>
      <w:r>
        <w:rPr>
          <w:rFonts w:ascii="Arial" w:cs="Arial" w:eastAsia="Arial" w:hAnsi="Arial"/>
          <w:b/>
          <w:bCs/>
          <w:color w:val="3B5937"/>
          <w:sz w:val="22"/>
          <w:szCs w:val="22"/>
        </w:rPr>
        <w:t xml:space="preserve">4.5 Accessibility Barrier Reporting</w:t>
      </w:r>
    </w:p>
    <w:p>
      <w:pPr>
        <w:spacing w:after="120" w:before="60" w:line="320"/>
        <w:jc w:val="both"/>
      </w:pPr>
      <w:r>
        <w:rPr>
          <w:rFonts w:ascii="Arial" w:cs="Arial" w:eastAsia="Arial" w:hAnsi="Arial"/>
          <w:color w:val="1F1E1E"/>
          <w:sz w:val="22"/>
          <w:szCs w:val="22"/>
        </w:rPr>
        <w:t xml:space="preserve">Users who encounter accessibility barriers may report them through:</w:t>
      </w:r>
    </w:p>
    <w:p>
      <w:pPr>
        <w:pStyle w:val="ListParagraph"/>
        <w:numPr>
          <w:ilvl w:val="0"/>
          <w:numId w:val="2"/>
        </w:numPr>
        <w:spacing w:after="40" w:before="40" w:line="300"/>
      </w:pPr>
      <w:r>
        <w:rPr>
          <w:rFonts w:ascii="Arial" w:cs="Arial" w:eastAsia="Arial" w:hAnsi="Arial"/>
          <w:b/>
          <w:bCs/>
          <w:color w:val="1F1E1E"/>
          <w:sz w:val="22"/>
          <w:szCs w:val="22"/>
        </w:rPr>
        <w:t xml:space="preserve">Online Form.</w:t>
      </w:r>
      <w:r>
        <w:rPr>
          <w:rFonts w:ascii="Arial" w:cs="Arial" w:eastAsia="Arial" w:hAnsi="Arial"/>
          <w:color w:val="1F1E1E"/>
          <w:sz w:val="22"/>
          <w:szCs w:val="22"/>
        </w:rPr>
        <w:t xml:space="preserve"> The Accessibility Statement page (holonfoundation.org/accessibility.html) includes a structured barrier reporting form.</w:t>
      </w:r>
    </w:p>
    <w:p>
      <w:pPr>
        <w:pStyle w:val="ListParagraph"/>
        <w:numPr>
          <w:ilvl w:val="0"/>
          <w:numId w:val="2"/>
        </w:numPr>
        <w:spacing w:after="40" w:before="40" w:line="300"/>
      </w:pPr>
      <w:r>
        <w:rPr>
          <w:rFonts w:ascii="Arial" w:cs="Arial" w:eastAsia="Arial" w:hAnsi="Arial"/>
          <w:b/>
          <w:bCs/>
          <w:color w:val="1F1E1E"/>
          <w:sz w:val="22"/>
          <w:szCs w:val="22"/>
        </w:rPr>
        <w:t xml:space="preserve">Email.</w:t>
      </w:r>
      <w:r>
        <w:rPr>
          <w:rFonts w:ascii="Arial" w:cs="Arial" w:eastAsia="Arial" w:hAnsi="Arial"/>
          <w:color w:val="1F1E1E"/>
          <w:sz w:val="22"/>
          <w:szCs w:val="22"/>
        </w:rPr>
        <w:t xml:space="preserve"> info@holonfoundation.org with subject line "Accessibility Barrier".</w:t>
      </w:r>
    </w:p>
    <w:p>
      <w:pPr>
        <w:spacing w:after="120" w:before="60" w:line="320"/>
        <w:jc w:val="both"/>
      </w:pPr>
      <w:r>
        <w:rPr>
          <w:rFonts w:ascii="Arial" w:cs="Arial" w:eastAsia="Arial" w:hAnsi="Arial"/>
          <w:color w:val="1F1E1E"/>
          <w:sz w:val="22"/>
          <w:szCs w:val="22"/>
        </w:rPr>
        <w:t xml:space="preserve">All accessibility barrier reports are reviewed within 5 business days. Critical barriers affecting core functionality are prioritized for immediate remediation.</w:t>
      </w:r>
    </w:p>
    <w:p>
      <w:pPr>
        <w:keepNext/>
        <w:spacing w:after="160" w:before="360"/>
      </w:pPr>
      <w:r>
        <w:rPr>
          <w:rFonts w:ascii="Arial" w:cs="Arial" w:eastAsia="Arial" w:hAnsi="Arial"/>
          <w:b/>
          <w:bCs/>
          <w:color w:val="561217"/>
          <w:sz w:val="26"/>
          <w:szCs w:val="26"/>
        </w:rPr>
        <w:t xml:space="preserve">5. Incident Response</w:t>
      </w:r>
    </w:p>
    <w:p>
      <w:pPr>
        <w:keepNext/>
        <w:spacing w:after="120" w:before="240"/>
      </w:pPr>
      <w:r>
        <w:rPr>
          <w:rFonts w:ascii="Arial" w:cs="Arial" w:eastAsia="Arial" w:hAnsi="Arial"/>
          <w:b/>
          <w:bCs/>
          <w:color w:val="3B5937"/>
          <w:sz w:val="22"/>
          <w:szCs w:val="22"/>
        </w:rPr>
        <w:t xml:space="preserve">5.1 Security Incident Classification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Severity</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Description</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Response Time</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Critical</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Data breach affecting personal data, unauthorized system access, or compromise of authentication systems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Immediate (within 1 hour of detection). Affected users notified per Policy No. 15 § Data Breach Response.</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High</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Attempted unauthorized access, vulnerability discovery, denial of service</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Within 4 hours. Investigation and mitigation within 24 hours.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Medium</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Suspicious activity patterns, failed attack attempts, minor configuration issues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Within 24 hours. Resolution within 7 business days.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Low</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Policy compliance questions, minor accessibility issues, informational security inquiries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Within 5 business days.</w:t>
            </w:r>
          </w:p>
        </w:tc>
      </w:tr>
    </w:tbl>
    <w:p>
      <w:pPr>
        <w:keepNext/>
        <w:spacing w:after="120" w:before="240"/>
      </w:pPr>
      <w:r>
        <w:rPr>
          <w:rFonts w:ascii="Arial" w:cs="Arial" w:eastAsia="Arial" w:hAnsi="Arial"/>
          <w:b/>
          <w:bCs/>
          <w:color w:val="3B5937"/>
          <w:sz w:val="22"/>
          <w:szCs w:val="22"/>
        </w:rPr>
        <w:t xml:space="preserve">5.2 Incident Response Procedure</w:t>
      </w:r>
    </w:p>
    <w:p>
      <w:pPr>
        <w:spacing w:after="120" w:before="60" w:line="320"/>
        <w:jc w:val="both"/>
      </w:pPr>
      <w:r>
        <w:rPr>
          <w:rFonts w:ascii="Arial" w:cs="Arial" w:eastAsia="Arial" w:hAnsi="Arial"/>
          <w:color w:val="1F1E1E"/>
          <w:sz w:val="22"/>
          <w:szCs w:val="22"/>
        </w:rPr>
        <w:t xml:space="preserve">1. </w:t>
      </w:r>
      <w:r>
        <w:rPr>
          <w:rFonts w:ascii="Arial" w:cs="Arial" w:eastAsia="Arial" w:hAnsi="Arial"/>
          <w:b/>
          <w:bCs/>
          <w:color w:val="1F1E1E"/>
          <w:sz w:val="22"/>
          <w:szCs w:val="22"/>
        </w:rPr>
        <w:t xml:space="preserve">Detection &amp; Triage.</w:t>
      </w:r>
      <w:r>
        <w:rPr>
          <w:rFonts w:ascii="Arial" w:cs="Arial" w:eastAsia="Arial" w:hAnsi="Arial"/>
          <w:color w:val="1F1E1E"/>
          <w:sz w:val="22"/>
          <w:szCs w:val="22"/>
        </w:rPr>
        <w:t xml:space="preserve"> Security events are detected through activity logs, rate limiting triggers, and user reports. Each event is classified by severity level. 2. </w:t>
      </w:r>
      <w:r>
        <w:rPr>
          <w:rFonts w:ascii="Arial" w:cs="Arial" w:eastAsia="Arial" w:hAnsi="Arial"/>
          <w:b/>
          <w:bCs/>
          <w:color w:val="1F1E1E"/>
          <w:sz w:val="22"/>
          <w:szCs w:val="22"/>
        </w:rPr>
        <w:t xml:space="preserve">Containment.</w:t>
      </w:r>
      <w:r>
        <w:rPr>
          <w:rFonts w:ascii="Arial" w:cs="Arial" w:eastAsia="Arial" w:hAnsi="Arial"/>
          <w:color w:val="1F1E1E"/>
          <w:sz w:val="22"/>
          <w:szCs w:val="22"/>
        </w:rPr>
        <w:t xml:space="preserve"> Immediate containment actions include session revocation, account suspension, IP blocking, or system isolation as appropriate. 3. </w:t>
      </w:r>
      <w:r>
        <w:rPr>
          <w:rFonts w:ascii="Arial" w:cs="Arial" w:eastAsia="Arial" w:hAnsi="Arial"/>
          <w:b/>
          <w:bCs/>
          <w:color w:val="1F1E1E"/>
          <w:sz w:val="22"/>
          <w:szCs w:val="22"/>
        </w:rPr>
        <w:t xml:space="preserve">Investigation.</w:t>
      </w:r>
      <w:r>
        <w:rPr>
          <w:rFonts w:ascii="Arial" w:cs="Arial" w:eastAsia="Arial" w:hAnsi="Arial"/>
          <w:color w:val="1F1E1E"/>
          <w:sz w:val="22"/>
          <w:szCs w:val="22"/>
        </w:rPr>
        <w:t xml:space="preserve"> Root cause analysis is conducted with full audit trail review. Findings are documented in the incident log. 4. </w:t>
      </w:r>
      <w:r>
        <w:rPr>
          <w:rFonts w:ascii="Arial" w:cs="Arial" w:eastAsia="Arial" w:hAnsi="Arial"/>
          <w:b/>
          <w:bCs/>
          <w:color w:val="1F1E1E"/>
          <w:sz w:val="22"/>
          <w:szCs w:val="22"/>
        </w:rPr>
        <w:t xml:space="preserve">Remediation.</w:t>
      </w:r>
      <w:r>
        <w:rPr>
          <w:rFonts w:ascii="Arial" w:cs="Arial" w:eastAsia="Arial" w:hAnsi="Arial"/>
          <w:color w:val="1F1E1E"/>
          <w:sz w:val="22"/>
          <w:szCs w:val="22"/>
        </w:rPr>
        <w:t xml:space="preserve"> Vulnerabilities are patched, security configurations updated, and affected systems restored to secure state. 5. </w:t>
      </w:r>
      <w:r>
        <w:rPr>
          <w:rFonts w:ascii="Arial" w:cs="Arial" w:eastAsia="Arial" w:hAnsi="Arial"/>
          <w:b/>
          <w:bCs/>
          <w:color w:val="1F1E1E"/>
          <w:sz w:val="22"/>
          <w:szCs w:val="22"/>
        </w:rPr>
        <w:t xml:space="preserve">Notification.</w:t>
      </w:r>
      <w:r>
        <w:rPr>
          <w:rFonts w:ascii="Arial" w:cs="Arial" w:eastAsia="Arial" w:hAnsi="Arial"/>
          <w:color w:val="1F1E1E"/>
          <w:sz w:val="22"/>
          <w:szCs w:val="22"/>
        </w:rPr>
        <w:t xml:space="preserve"> Affected users and relevant authorities are notified per Holon Foundation Policy No. 15 (Data Privacy and Security) data-breach response framework. 6. </w:t>
      </w:r>
      <w:r>
        <w:rPr>
          <w:rFonts w:ascii="Arial" w:cs="Arial" w:eastAsia="Arial" w:hAnsi="Arial"/>
          <w:b/>
          <w:bCs/>
          <w:color w:val="1F1E1E"/>
          <w:sz w:val="22"/>
          <w:szCs w:val="22"/>
        </w:rPr>
        <w:t xml:space="preserve">Post-Incident Review.</w:t>
      </w:r>
      <w:r>
        <w:rPr>
          <w:rFonts w:ascii="Arial" w:cs="Arial" w:eastAsia="Arial" w:hAnsi="Arial"/>
          <w:color w:val="1F1E1E"/>
          <w:sz w:val="22"/>
          <w:szCs w:val="22"/>
        </w:rPr>
        <w:t xml:space="preserve"> Lessons learned are documented and incorporated into security policies and procedures.</w:t>
      </w:r>
    </w:p>
    <w:p>
      <w:pPr>
        <w:keepNext/>
        <w:spacing w:after="160" w:before="360"/>
      </w:pPr>
      <w:r>
        <w:rPr>
          <w:rFonts w:ascii="Arial" w:cs="Arial" w:eastAsia="Arial" w:hAnsi="Arial"/>
          <w:b/>
          <w:bCs/>
          <w:color w:val="561217"/>
          <w:sz w:val="26"/>
          <w:szCs w:val="26"/>
        </w:rPr>
        <w:t xml:space="preserve">6. Vulnerability Management</w:t>
      </w:r>
    </w:p>
    <w:p>
      <w:pPr>
        <w:keepNext/>
        <w:spacing w:after="120" w:before="240"/>
      </w:pPr>
      <w:r>
        <w:rPr>
          <w:rFonts w:ascii="Arial" w:cs="Arial" w:eastAsia="Arial" w:hAnsi="Arial"/>
          <w:b/>
          <w:bCs/>
          <w:color w:val="3B5937"/>
          <w:sz w:val="22"/>
          <w:szCs w:val="22"/>
        </w:rPr>
        <w:t xml:space="preserve">6.1 Responsible Disclosure</w:t>
      </w:r>
    </w:p>
    <w:p>
      <w:pPr>
        <w:spacing w:after="120" w:before="60" w:line="320"/>
        <w:jc w:val="both"/>
      </w:pPr>
      <w:r>
        <w:rPr>
          <w:rFonts w:ascii="Arial" w:cs="Arial" w:eastAsia="Arial" w:hAnsi="Arial"/>
          <w:color w:val="1F1E1E"/>
          <w:sz w:val="22"/>
          <w:szCs w:val="22"/>
        </w:rPr>
        <w:t xml:space="preserve">The Foundation welcomes responsible disclosure of security vulnerabilities. Security researchers and community members who discover potential vulnerabilities should report them to info@holonfoundation.org with the subject line "Security Vulnerability Report." The Foundation commits to:</w:t>
      </w:r>
    </w:p>
    <w:p>
      <w:pPr>
        <w:pStyle w:val="ListParagraph"/>
        <w:numPr>
          <w:ilvl w:val="0"/>
          <w:numId w:val="2"/>
        </w:numPr>
        <w:spacing w:after="40" w:before="40" w:line="300"/>
      </w:pPr>
      <w:r>
        <w:rPr>
          <w:rFonts w:ascii="Arial" w:cs="Arial" w:eastAsia="Arial" w:hAnsi="Arial"/>
          <w:color w:val="1F1E1E"/>
          <w:sz w:val="22"/>
          <w:szCs w:val="22"/>
        </w:rPr>
        <w:t xml:space="preserve">Acknowledging receipt of vulnerability reports within 48 hours</w:t>
      </w:r>
    </w:p>
    <w:p>
      <w:pPr>
        <w:pStyle w:val="ListParagraph"/>
        <w:numPr>
          <w:ilvl w:val="0"/>
          <w:numId w:val="2"/>
        </w:numPr>
        <w:spacing w:after="40" w:before="40" w:line="300"/>
      </w:pPr>
      <w:r>
        <w:rPr>
          <w:rFonts w:ascii="Arial" w:cs="Arial" w:eastAsia="Arial" w:hAnsi="Arial"/>
          <w:color w:val="1F1E1E"/>
          <w:sz w:val="22"/>
          <w:szCs w:val="22"/>
        </w:rPr>
        <w:t xml:space="preserve">Providing an initial assessment within 5 business days</w:t>
      </w:r>
    </w:p>
    <w:p>
      <w:pPr>
        <w:pStyle w:val="ListParagraph"/>
        <w:numPr>
          <w:ilvl w:val="0"/>
          <w:numId w:val="2"/>
        </w:numPr>
        <w:spacing w:after="40" w:before="40" w:line="300"/>
      </w:pPr>
      <w:r>
        <w:rPr>
          <w:rFonts w:ascii="Arial" w:cs="Arial" w:eastAsia="Arial" w:hAnsi="Arial"/>
          <w:color w:val="1F1E1E"/>
          <w:sz w:val="22"/>
          <w:szCs w:val="22"/>
        </w:rPr>
        <w:t xml:space="preserve">Not pursuing legal action against researchers acting in good faith</w:t>
      </w:r>
    </w:p>
    <w:p>
      <w:pPr>
        <w:pStyle w:val="ListParagraph"/>
        <w:numPr>
          <w:ilvl w:val="0"/>
          <w:numId w:val="2"/>
        </w:numPr>
        <w:spacing w:after="40" w:before="40" w:line="300"/>
      </w:pPr>
      <w:r>
        <w:rPr>
          <w:rFonts w:ascii="Arial" w:cs="Arial" w:eastAsia="Arial" w:hAnsi="Arial"/>
          <w:color w:val="1F1E1E"/>
          <w:sz w:val="22"/>
          <w:szCs w:val="22"/>
        </w:rPr>
        <w:t xml:space="preserve">Crediting researchers (with their permission) when vulnerabilities are resolved</w:t>
      </w:r>
    </w:p>
    <w:p>
      <w:pPr>
        <w:keepNext/>
        <w:spacing w:after="120" w:before="240"/>
      </w:pPr>
      <w:r>
        <w:rPr>
          <w:rFonts w:ascii="Arial" w:cs="Arial" w:eastAsia="Arial" w:hAnsi="Arial"/>
          <w:b/>
          <w:bCs/>
          <w:color w:val="3B5937"/>
          <w:sz w:val="22"/>
          <w:szCs w:val="22"/>
        </w:rPr>
        <w:t xml:space="preserve">6.2 Dependency &amp; Platform Security</w:t>
      </w:r>
    </w:p>
    <w:p>
      <w:pPr>
        <w:spacing w:after="120" w:before="60" w:line="320"/>
        <w:jc w:val="both"/>
      </w:pPr>
      <w:r>
        <w:rPr>
          <w:rFonts w:ascii="Arial" w:cs="Arial" w:eastAsia="Arial" w:hAnsi="Arial"/>
          <w:color w:val="1F1E1E"/>
          <w:sz w:val="22"/>
          <w:szCs w:val="22"/>
        </w:rPr>
        <w:t xml:space="preserve">The Foundation monitors the security posture of its technology dependencies:</w:t>
      </w:r>
    </w:p>
    <w:p>
      <w:pPr>
        <w:pStyle w:val="ListParagraph"/>
        <w:numPr>
          <w:ilvl w:val="0"/>
          <w:numId w:val="2"/>
        </w:numPr>
        <w:spacing w:after="40" w:before="40" w:line="300"/>
      </w:pPr>
      <w:r>
        <w:rPr>
          <w:rFonts w:ascii="Arial" w:cs="Arial" w:eastAsia="Arial" w:hAnsi="Arial"/>
          <w:b/>
          <w:bCs/>
          <w:color w:val="1F1E1E"/>
          <w:sz w:val="22"/>
          <w:szCs w:val="22"/>
        </w:rPr>
        <w:t xml:space="preserve">Supabase Platform.</w:t>
      </w:r>
      <w:r>
        <w:rPr>
          <w:rFonts w:ascii="Arial" w:cs="Arial" w:eastAsia="Arial" w:hAnsi="Arial"/>
          <w:color w:val="1F1E1E"/>
          <w:sz w:val="22"/>
          <w:szCs w:val="22"/>
        </w:rPr>
        <w:t xml:space="preserve"> Backend security, database patches, and infrastructure updates are managed by Supabase with SOC 2 Type II compliance.</w:t>
      </w:r>
    </w:p>
    <w:p>
      <w:pPr>
        <w:pStyle w:val="ListParagraph"/>
        <w:numPr>
          <w:ilvl w:val="0"/>
          <w:numId w:val="2"/>
        </w:numPr>
        <w:spacing w:after="40" w:before="40" w:line="300"/>
      </w:pPr>
      <w:r>
        <w:rPr>
          <w:rFonts w:ascii="Arial" w:cs="Arial" w:eastAsia="Arial" w:hAnsi="Arial"/>
          <w:b/>
          <w:bCs/>
          <w:color w:val="1F1E1E"/>
          <w:sz w:val="22"/>
          <w:szCs w:val="22"/>
        </w:rPr>
        <w:t xml:space="preserve">Netlify Hosting.</w:t>
      </w:r>
      <w:r>
        <w:rPr>
          <w:rFonts w:ascii="Arial" w:cs="Arial" w:eastAsia="Arial" w:hAnsi="Arial"/>
          <w:color w:val="1F1E1E"/>
          <w:sz w:val="22"/>
          <w:szCs w:val="22"/>
        </w:rPr>
        <w:t xml:space="preserve"> Static asset hosting with automatic HTTPS, DDoS protection, and CDN-level security.</w:t>
      </w:r>
    </w:p>
    <w:p>
      <w:pPr>
        <w:pStyle w:val="ListParagraph"/>
        <w:numPr>
          <w:ilvl w:val="0"/>
          <w:numId w:val="2"/>
        </w:numPr>
        <w:spacing w:after="40" w:before="40" w:line="300"/>
      </w:pPr>
      <w:r>
        <w:rPr>
          <w:rFonts w:ascii="Arial" w:cs="Arial" w:eastAsia="Arial" w:hAnsi="Arial"/>
          <w:b/>
          <w:bCs/>
          <w:color w:val="1F1E1E"/>
          <w:sz w:val="22"/>
          <w:szCs w:val="22"/>
        </w:rPr>
        <w:t xml:space="preserve">Third-Party Libraries.</w:t>
      </w:r>
      <w:r>
        <w:rPr>
          <w:rFonts w:ascii="Arial" w:cs="Arial" w:eastAsia="Arial" w:hAnsi="Arial"/>
          <w:color w:val="1F1E1E"/>
          <w:sz w:val="22"/>
          <w:szCs w:val="22"/>
        </w:rPr>
        <w:t xml:space="preserve"> External scripts are loaded only from approved CDN sources specified in the Content Security Policy. No self-hosted third-party JavaScript is executed.</w:t>
      </w:r>
    </w:p>
    <w:p>
      <w:pPr>
        <w:pStyle w:val="ListParagraph"/>
        <w:numPr>
          <w:ilvl w:val="0"/>
          <w:numId w:val="2"/>
        </w:numPr>
        <w:spacing w:after="40" w:before="40" w:line="300"/>
      </w:pPr>
      <w:r>
        <w:rPr>
          <w:rFonts w:ascii="Arial" w:cs="Arial" w:eastAsia="Arial" w:hAnsi="Arial"/>
          <w:b/>
          <w:bCs/>
          <w:color w:val="1F1E1E"/>
          <w:sz w:val="22"/>
          <w:szCs w:val="22"/>
        </w:rPr>
        <w:t xml:space="preserve">Dependency Review.</w:t>
      </w:r>
      <w:r>
        <w:rPr>
          <w:rFonts w:ascii="Arial" w:cs="Arial" w:eastAsia="Arial" w:hAnsi="Arial"/>
          <w:color w:val="1F1E1E"/>
          <w:sz w:val="22"/>
          <w:szCs w:val="22"/>
        </w:rPr>
        <w:t xml:space="preserve"> Technology dependencies are reviewed quarterly for known vulnerabilities and updated as needed.</w:t>
      </w:r>
    </w:p>
    <w:p>
      <w:pPr>
        <w:keepNext/>
        <w:spacing w:after="160" w:before="360"/>
      </w:pPr>
      <w:r>
        <w:rPr>
          <w:rFonts w:ascii="Arial" w:cs="Arial" w:eastAsia="Arial" w:hAnsi="Arial"/>
          <w:b/>
          <w:bCs/>
          <w:color w:val="561217"/>
          <w:sz w:val="26"/>
          <w:szCs w:val="26"/>
        </w:rPr>
        <w:t xml:space="preserve">7. User Rights &amp; Data Subject Requests</w:t>
      </w:r>
    </w:p>
    <w:p>
      <w:pPr>
        <w:spacing w:after="120" w:before="60" w:line="320"/>
        <w:jc w:val="both"/>
      </w:pPr>
      <w:r>
        <w:rPr>
          <w:rFonts w:ascii="Arial" w:cs="Arial" w:eastAsia="Arial" w:hAnsi="Arial"/>
          <w:color w:val="1F1E1E"/>
          <w:sz w:val="22"/>
          <w:szCs w:val="22"/>
        </w:rPr>
        <w:t xml:space="preserve">In accordance with applicable privacy laws, Foundation users have the rights detailed in Holon Foundation Policy No. 15.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Right</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Description</w:t>
            </w:r>
          </w:p>
        </w:tc>
        <w:tc>
          <w:tcPr>
            <w:tcW w:type="dxa" w:w="312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Response Time</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Access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Request a copy of all personal data held by the Foundation</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Within 45 days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Correction</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Request correction of inaccurate personal data</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Within 45 days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Deletion</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Request deletion of personal data (subject to legal retention requirements)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Within 45 days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Portability</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Obtain personal data in a commonly used, machine-readable format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Within 45 days</w:t>
            </w:r>
          </w:p>
        </w:tc>
      </w:tr>
      <w:tr>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Opt-Out</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Opt out of data processing for non-essential purposes</w:t>
            </w:r>
          </w:p>
        </w:tc>
        <w:tc>
          <w:tcPr>
            <w:tcW w:type="dxa" w:w="312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Within 15 days</w:t>
            </w:r>
          </w:p>
        </w:tc>
      </w:tr>
    </w:tbl>
    <w:p>
      <w:pPr>
        <w:spacing w:after="120" w:before="60" w:line="320"/>
        <w:jc w:val="both"/>
      </w:pPr>
      <w:r>
        <w:rPr>
          <w:rFonts w:ascii="Arial" w:cs="Arial" w:eastAsia="Arial" w:hAnsi="Arial"/>
          <w:color w:val="1F1E1E"/>
          <w:sz w:val="22"/>
          <w:szCs w:val="22"/>
        </w:rPr>
        <w:t xml:space="preserve">Data subject requests may be submitted to privacy@holonfoundation.org. The Foundation will verify the identity of the requestor before processing any data subject request.</w:t>
      </w:r>
    </w:p>
    <w:p>
      <w:pPr>
        <w:keepNext/>
        <w:spacing w:after="160" w:before="360"/>
      </w:pPr>
      <w:r>
        <w:rPr>
          <w:rFonts w:ascii="Arial" w:cs="Arial" w:eastAsia="Arial" w:hAnsi="Arial"/>
          <w:b/>
          <w:bCs/>
          <w:color w:val="561217"/>
          <w:sz w:val="26"/>
          <w:szCs w:val="26"/>
        </w:rPr>
        <w:t xml:space="preserve">8. Training &amp; Awareness</w:t>
      </w:r>
    </w:p>
    <w:p>
      <w:pPr>
        <w:spacing w:after="120" w:before="60" w:line="320"/>
        <w:jc w:val="both"/>
      </w:pPr>
      <w:r>
        <w:rPr>
          <w:rFonts w:ascii="Arial" w:cs="Arial" w:eastAsia="Arial" w:hAnsi="Arial"/>
          <w:color w:val="1F1E1E"/>
          <w:sz w:val="22"/>
          <w:szCs w:val="22"/>
        </w:rPr>
        <w:t xml:space="preserve">The Foundation maintains a security and accessibility awareness program:</w:t>
      </w:r>
    </w:p>
    <w:p>
      <w:pPr>
        <w:pStyle w:val="ListParagraph"/>
        <w:numPr>
          <w:ilvl w:val="0"/>
          <w:numId w:val="2"/>
        </w:numPr>
        <w:spacing w:after="40" w:before="40" w:line="300"/>
      </w:pPr>
      <w:r>
        <w:rPr>
          <w:rFonts w:ascii="Arial" w:cs="Arial" w:eastAsia="Arial" w:hAnsi="Arial"/>
          <w:b/>
          <w:bCs/>
          <w:color w:val="1F1E1E"/>
          <w:sz w:val="22"/>
          <w:szCs w:val="22"/>
        </w:rPr>
        <w:t xml:space="preserve">Onboarding.</w:t>
      </w:r>
      <w:r>
        <w:rPr>
          <w:rFonts w:ascii="Arial" w:cs="Arial" w:eastAsia="Arial" w:hAnsi="Arial"/>
          <w:color w:val="1F1E1E"/>
          <w:sz w:val="22"/>
          <w:szCs w:val="22"/>
        </w:rPr>
        <w:t xml:space="preserve"> All new personnel with system access receive training on this policy, data handling procedures, and accessibility requirements.</w:t>
      </w:r>
    </w:p>
    <w:p>
      <w:pPr>
        <w:pStyle w:val="ListParagraph"/>
        <w:numPr>
          <w:ilvl w:val="0"/>
          <w:numId w:val="2"/>
        </w:numPr>
        <w:spacing w:after="40" w:before="40" w:line="300"/>
      </w:pPr>
      <w:r>
        <w:rPr>
          <w:rFonts w:ascii="Arial" w:cs="Arial" w:eastAsia="Arial" w:hAnsi="Arial"/>
          <w:b/>
          <w:bCs/>
          <w:color w:val="1F1E1E"/>
          <w:sz w:val="22"/>
          <w:szCs w:val="22"/>
        </w:rPr>
        <w:t xml:space="preserve">Annual Review.</w:t>
      </w:r>
      <w:r>
        <w:rPr>
          <w:rFonts w:ascii="Arial" w:cs="Arial" w:eastAsia="Arial" w:hAnsi="Arial"/>
          <w:color w:val="1F1E1E"/>
          <w:sz w:val="22"/>
          <w:szCs w:val="22"/>
        </w:rPr>
        <w:t xml:space="preserve"> All personnel with system access complete an annual security and accessibility awareness refresher.</w:t>
      </w:r>
    </w:p>
    <w:p>
      <w:pPr>
        <w:pStyle w:val="ListParagraph"/>
        <w:numPr>
          <w:ilvl w:val="0"/>
          <w:numId w:val="2"/>
        </w:numPr>
        <w:spacing w:after="40" w:before="40" w:line="300"/>
      </w:pPr>
      <w:r>
        <w:rPr>
          <w:rFonts w:ascii="Arial" w:cs="Arial" w:eastAsia="Arial" w:hAnsi="Arial"/>
          <w:b/>
          <w:bCs/>
          <w:color w:val="1F1E1E"/>
          <w:sz w:val="22"/>
          <w:szCs w:val="22"/>
        </w:rPr>
        <w:t xml:space="preserve">Role-Specific Training.</w:t>
      </w:r>
      <w:r>
        <w:rPr>
          <w:rFonts w:ascii="Arial" w:cs="Arial" w:eastAsia="Arial" w:hAnsi="Arial"/>
          <w:color w:val="1F1E1E"/>
          <w:sz w:val="22"/>
          <w:szCs w:val="22"/>
        </w:rPr>
        <w:t xml:space="preserve"> Administrators and developers receive additional training on secure coding practices, vulnerability management, and WCAG implementation.</w:t>
      </w:r>
    </w:p>
    <w:p>
      <w:pPr>
        <w:pStyle w:val="ListParagraph"/>
        <w:numPr>
          <w:ilvl w:val="0"/>
          <w:numId w:val="2"/>
        </w:numPr>
        <w:spacing w:after="40" w:before="40" w:line="300"/>
      </w:pPr>
      <w:r>
        <w:rPr>
          <w:rFonts w:ascii="Arial" w:cs="Arial" w:eastAsia="Arial" w:hAnsi="Arial"/>
          <w:b/>
          <w:bCs/>
          <w:color w:val="1F1E1E"/>
          <w:sz w:val="22"/>
          <w:szCs w:val="22"/>
        </w:rPr>
        <w:t xml:space="preserve">Incident Simulation.</w:t>
      </w:r>
      <w:r>
        <w:rPr>
          <w:rFonts w:ascii="Arial" w:cs="Arial" w:eastAsia="Arial" w:hAnsi="Arial"/>
          <w:color w:val="1F1E1E"/>
          <w:sz w:val="22"/>
          <w:szCs w:val="22"/>
        </w:rPr>
        <w:t xml:space="preserve"> The Foundation conducts periodic tabletop exercises to test incident response procedures.</w:t>
      </w:r>
    </w:p>
    <w:p>
      <w:pPr>
        <w:keepNext/>
        <w:spacing w:after="160" w:before="360"/>
      </w:pPr>
      <w:r>
        <w:rPr>
          <w:rFonts w:ascii="Arial" w:cs="Arial" w:eastAsia="Arial" w:hAnsi="Arial"/>
          <w:b/>
          <w:bCs/>
          <w:color w:val="561217"/>
          <w:sz w:val="26"/>
          <w:szCs w:val="26"/>
        </w:rPr>
        <w:t xml:space="preserve">9. Compliance Monitoring &amp; Audit</w:t>
      </w:r>
    </w:p>
    <w:p>
      <w:pPr>
        <w:keepNext/>
        <w:spacing w:after="120" w:before="240"/>
      </w:pPr>
      <w:r>
        <w:rPr>
          <w:rFonts w:ascii="Arial" w:cs="Arial" w:eastAsia="Arial" w:hAnsi="Arial"/>
          <w:b/>
          <w:bCs/>
          <w:color w:val="3B5937"/>
          <w:sz w:val="22"/>
          <w:szCs w:val="22"/>
        </w:rPr>
        <w:t xml:space="preserve">9.1 Internal Audit</w:t>
      </w:r>
    </w:p>
    <w:p>
      <w:pPr>
        <w:spacing w:after="120" w:before="60" w:line="320"/>
        <w:jc w:val="both"/>
      </w:pPr>
      <w:r>
        <w:rPr>
          <w:rFonts w:ascii="Arial" w:cs="Arial" w:eastAsia="Arial" w:hAnsi="Arial"/>
          <w:color w:val="1F1E1E"/>
          <w:sz w:val="22"/>
          <w:szCs w:val="22"/>
        </w:rPr>
        <w:t xml:space="preserve">The Foundation conducts the following regular compliance assessments:</w:t>
      </w:r>
    </w:p>
    <w:p>
      <w:pPr>
        <w:pStyle w:val="ListParagraph"/>
        <w:numPr>
          <w:ilvl w:val="0"/>
          <w:numId w:val="2"/>
        </w:numPr>
        <w:spacing w:after="40" w:before="40" w:line="300"/>
      </w:pPr>
      <w:r>
        <w:rPr>
          <w:rFonts w:ascii="Arial" w:cs="Arial" w:eastAsia="Arial" w:hAnsi="Arial"/>
          <w:b/>
          <w:bCs/>
          <w:color w:val="1F1E1E"/>
          <w:sz w:val="22"/>
          <w:szCs w:val="22"/>
        </w:rPr>
        <w:t xml:space="preserve">Quarterly.</w:t>
      </w:r>
      <w:r>
        <w:rPr>
          <w:rFonts w:ascii="Arial" w:cs="Arial" w:eastAsia="Arial" w:hAnsi="Arial"/>
          <w:color w:val="1F1E1E"/>
          <w:sz w:val="22"/>
          <w:szCs w:val="22"/>
        </w:rPr>
        <w:t xml:space="preserve"> Review of security headers, CSP policy, and access control configurations.</w:t>
      </w:r>
    </w:p>
    <w:p>
      <w:pPr>
        <w:pStyle w:val="ListParagraph"/>
        <w:numPr>
          <w:ilvl w:val="0"/>
          <w:numId w:val="2"/>
        </w:numPr>
        <w:spacing w:after="40" w:before="40" w:line="300"/>
      </w:pPr>
      <w:r>
        <w:rPr>
          <w:rFonts w:ascii="Arial" w:cs="Arial" w:eastAsia="Arial" w:hAnsi="Arial"/>
          <w:b/>
          <w:bCs/>
          <w:color w:val="1F1E1E"/>
          <w:sz w:val="22"/>
          <w:szCs w:val="22"/>
        </w:rPr>
        <w:t xml:space="preserve">Semi-Annually.</w:t>
      </w:r>
      <w:r>
        <w:rPr>
          <w:rFonts w:ascii="Arial" w:cs="Arial" w:eastAsia="Arial" w:hAnsi="Arial"/>
          <w:color w:val="1F1E1E"/>
          <w:sz w:val="22"/>
          <w:szCs w:val="22"/>
        </w:rPr>
        <w:t xml:space="preserve"> WCAG 2.2 AA compliance audit using automated tools (e.g., axe, Lighthouse) and manual testing with assistive technologies.</w:t>
      </w:r>
    </w:p>
    <w:p>
      <w:pPr>
        <w:pStyle w:val="ListParagraph"/>
        <w:numPr>
          <w:ilvl w:val="0"/>
          <w:numId w:val="2"/>
        </w:numPr>
        <w:spacing w:after="40" w:before="40" w:line="300"/>
      </w:pPr>
      <w:r>
        <w:rPr>
          <w:rFonts w:ascii="Arial" w:cs="Arial" w:eastAsia="Arial" w:hAnsi="Arial"/>
          <w:b/>
          <w:bCs/>
          <w:color w:val="1F1E1E"/>
          <w:sz w:val="22"/>
          <w:szCs w:val="22"/>
        </w:rPr>
        <w:t xml:space="preserve">Annually.</w:t>
      </w:r>
      <w:r>
        <w:rPr>
          <w:rFonts w:ascii="Arial" w:cs="Arial" w:eastAsia="Arial" w:hAnsi="Arial"/>
          <w:color w:val="1F1E1E"/>
          <w:sz w:val="22"/>
          <w:szCs w:val="22"/>
        </w:rPr>
        <w:t xml:space="preserve"> Comprehensive security assessment including penetration testing considerations, dependency audit, and policy review.</w:t>
      </w:r>
    </w:p>
    <w:p>
      <w:pPr>
        <w:keepNext/>
        <w:spacing w:after="120" w:before="240"/>
      </w:pPr>
      <w:r>
        <w:rPr>
          <w:rFonts w:ascii="Arial" w:cs="Arial" w:eastAsia="Arial" w:hAnsi="Arial"/>
          <w:b/>
          <w:bCs/>
          <w:color w:val="3B5937"/>
          <w:sz w:val="22"/>
          <w:szCs w:val="22"/>
        </w:rPr>
        <w:t xml:space="preserve">9.2 Accessibility Testing</w:t>
      </w:r>
    </w:p>
    <w:p>
      <w:pPr>
        <w:spacing w:after="120" w:before="60" w:line="320"/>
        <w:jc w:val="both"/>
      </w:pPr>
      <w:r>
        <w:rPr>
          <w:rFonts w:ascii="Arial" w:cs="Arial" w:eastAsia="Arial" w:hAnsi="Arial"/>
          <w:color w:val="1F1E1E"/>
          <w:sz w:val="22"/>
          <w:szCs w:val="22"/>
        </w:rPr>
        <w:t xml:space="preserve">Accessibility compliance is verified through a combination of:</w:t>
      </w:r>
    </w:p>
    <w:p>
      <w:pPr>
        <w:pStyle w:val="ListParagraph"/>
        <w:numPr>
          <w:ilvl w:val="0"/>
          <w:numId w:val="2"/>
        </w:numPr>
        <w:spacing w:after="40" w:before="40" w:line="300"/>
      </w:pPr>
      <w:r>
        <w:rPr>
          <w:rFonts w:ascii="Arial" w:cs="Arial" w:eastAsia="Arial" w:hAnsi="Arial"/>
          <w:color w:val="1F1E1E"/>
          <w:sz w:val="22"/>
          <w:szCs w:val="22"/>
        </w:rPr>
        <w:t xml:space="preserve">Automated scanning tools (Lighthouse, axe-core) integrated into the development workflow</w:t>
      </w:r>
    </w:p>
    <w:p>
      <w:pPr>
        <w:pStyle w:val="ListParagraph"/>
        <w:numPr>
          <w:ilvl w:val="0"/>
          <w:numId w:val="2"/>
        </w:numPr>
        <w:spacing w:after="40" w:before="40" w:line="300"/>
      </w:pPr>
      <w:r>
        <w:rPr>
          <w:rFonts w:ascii="Arial" w:cs="Arial" w:eastAsia="Arial" w:hAnsi="Arial"/>
          <w:color w:val="1F1E1E"/>
          <w:sz w:val="22"/>
          <w:szCs w:val="22"/>
        </w:rPr>
        <w:t xml:space="preserve">Manual keyboard navigation testing across all interactive features</w:t>
      </w:r>
    </w:p>
    <w:p>
      <w:pPr>
        <w:pStyle w:val="ListParagraph"/>
        <w:numPr>
          <w:ilvl w:val="0"/>
          <w:numId w:val="2"/>
        </w:numPr>
        <w:spacing w:after="40" w:before="40" w:line="300"/>
      </w:pPr>
      <w:r>
        <w:rPr>
          <w:rFonts w:ascii="Arial" w:cs="Arial" w:eastAsia="Arial" w:hAnsi="Arial"/>
          <w:color w:val="1F1E1E"/>
          <w:sz w:val="22"/>
          <w:szCs w:val="22"/>
        </w:rPr>
        <w:t xml:space="preserve">Screen reader testing with NVDA, VoiceOver, and TalkBack</w:t>
      </w:r>
    </w:p>
    <w:p>
      <w:pPr>
        <w:pStyle w:val="ListParagraph"/>
        <w:numPr>
          <w:ilvl w:val="0"/>
          <w:numId w:val="2"/>
        </w:numPr>
        <w:spacing w:after="40" w:before="40" w:line="300"/>
      </w:pPr>
      <w:r>
        <w:rPr>
          <w:rFonts w:ascii="Arial" w:cs="Arial" w:eastAsia="Arial" w:hAnsi="Arial"/>
          <w:color w:val="1F1E1E"/>
          <w:sz w:val="22"/>
          <w:szCs w:val="22"/>
        </w:rPr>
        <w:t xml:space="preserve">User feedback from the accessibility barrier reporting system</w:t>
      </w:r>
    </w:p>
    <w:p>
      <w:pPr>
        <w:pStyle w:val="ListParagraph"/>
        <w:numPr>
          <w:ilvl w:val="0"/>
          <w:numId w:val="2"/>
        </w:numPr>
        <w:spacing w:after="40" w:before="40" w:line="300"/>
      </w:pPr>
      <w:r>
        <w:rPr>
          <w:rFonts w:ascii="Arial" w:cs="Arial" w:eastAsia="Arial" w:hAnsi="Arial"/>
          <w:color w:val="1F1E1E"/>
          <w:sz w:val="22"/>
          <w:szCs w:val="22"/>
        </w:rPr>
        <w:t xml:space="preserve">Color contrast verification for all new UI components</w:t>
      </w:r>
    </w:p>
    <w:p>
      <w:pPr>
        <w:keepNext/>
        <w:spacing w:after="120" w:before="240"/>
      </w:pPr>
      <w:r>
        <w:rPr>
          <w:rFonts w:ascii="Arial" w:cs="Arial" w:eastAsia="Arial" w:hAnsi="Arial"/>
          <w:b/>
          <w:bCs/>
          <w:color w:val="3B5937"/>
          <w:sz w:val="22"/>
          <w:szCs w:val="22"/>
        </w:rPr>
        <w:t xml:space="preserve">9.3 Compliance Documentation</w:t>
      </w:r>
    </w:p>
    <w:p>
      <w:pPr>
        <w:spacing w:after="120" w:before="60" w:line="320"/>
        <w:jc w:val="both"/>
      </w:pPr>
      <w:r>
        <w:rPr>
          <w:rFonts w:ascii="Arial" w:cs="Arial" w:eastAsia="Arial" w:hAnsi="Arial"/>
          <w:color w:val="1F1E1E"/>
          <w:sz w:val="22"/>
          <w:szCs w:val="22"/>
        </w:rPr>
        <w:t xml:space="preserve">The Foundation maintains records of all compliance activities, including audit results, remediation actions, incident reports, and accessibility testing outcomes. These records are retained per Holon Foundation Policy No. 06 (Document Retention and Destruction Policy) and are available for review by authorized oversight bodies upon request.</w:t>
      </w:r>
    </w:p>
    <w:p>
      <w:pPr>
        <w:keepNext/>
        <w:spacing w:after="160" w:before="360"/>
      </w:pPr>
      <w:r>
        <w:rPr>
          <w:rFonts w:ascii="Arial" w:cs="Arial" w:eastAsia="Arial" w:hAnsi="Arial"/>
          <w:b/>
          <w:bCs/>
          <w:color w:val="561217"/>
          <w:sz w:val="26"/>
          <w:szCs w:val="26"/>
        </w:rPr>
        <w:t xml:space="preserve">10. Enforcement &amp; External Remedies</w:t>
      </w:r>
    </w:p>
    <w:p>
      <w:pPr>
        <w:spacing w:after="120" w:before="60" w:line="320"/>
        <w:jc w:val="both"/>
      </w:pPr>
      <w:r>
        <w:rPr>
          <w:rFonts w:ascii="Arial" w:cs="Arial" w:eastAsia="Arial" w:hAnsi="Arial"/>
          <w:color w:val="1F1E1E"/>
          <w:sz w:val="22"/>
          <w:szCs w:val="22"/>
        </w:rPr>
        <w:t xml:space="preserve">If users are not satisfied with the Foundation's response to a security or accessibility concern, they may pursue the following external remedies:</w:t>
      </w:r>
    </w:p>
    <w:p>
      <w:pPr>
        <w:pStyle w:val="ListParagraph"/>
        <w:numPr>
          <w:ilvl w:val="0"/>
          <w:numId w:val="2"/>
        </w:numPr>
        <w:spacing w:after="40" w:before="40" w:line="300"/>
      </w:pPr>
      <w:r>
        <w:rPr>
          <w:rFonts w:ascii="Arial" w:cs="Arial" w:eastAsia="Arial" w:hAnsi="Arial"/>
          <w:b/>
          <w:bCs/>
          <w:color w:val="1F1E1E"/>
          <w:sz w:val="22"/>
          <w:szCs w:val="22"/>
        </w:rPr>
        <w:t xml:space="preserve">ADA Title III Complaints.</w:t>
      </w:r>
      <w:r>
        <w:rPr>
          <w:rFonts w:ascii="Arial" w:cs="Arial" w:eastAsia="Arial" w:hAnsi="Arial"/>
          <w:color w:val="1F1E1E"/>
          <w:sz w:val="22"/>
          <w:szCs w:val="22"/>
        </w:rPr>
        <w:t xml:space="preserve"> File a complaint with the U.S. Department of Justice (ada.gov/file-a-complaint).</w:t>
      </w:r>
    </w:p>
    <w:p>
      <w:pPr>
        <w:pStyle w:val="ListParagraph"/>
        <w:numPr>
          <w:ilvl w:val="0"/>
          <w:numId w:val="2"/>
        </w:numPr>
        <w:spacing w:after="40" w:before="40" w:line="300"/>
      </w:pPr>
      <w:r>
        <w:rPr>
          <w:rFonts w:ascii="Arial" w:cs="Arial" w:eastAsia="Arial" w:hAnsi="Arial"/>
          <w:b/>
          <w:bCs/>
          <w:color w:val="1F1E1E"/>
          <w:sz w:val="22"/>
          <w:szCs w:val="22"/>
        </w:rPr>
        <w:t xml:space="preserve">Section 504 / 508 Complaints.</w:t>
      </w:r>
      <w:r>
        <w:rPr>
          <w:rFonts w:ascii="Arial" w:cs="Arial" w:eastAsia="Arial" w:hAnsi="Arial"/>
          <w:color w:val="1F1E1E"/>
          <w:sz w:val="22"/>
          <w:szCs w:val="22"/>
        </w:rPr>
        <w:t xml:space="preserve"> Contact the Office for Civil Rights (OCR) at the U.S. Department of Health and Human Services or the Department of Education, as applicable.</w:t>
      </w:r>
    </w:p>
    <w:p>
      <w:pPr>
        <w:pStyle w:val="ListParagraph"/>
        <w:numPr>
          <w:ilvl w:val="0"/>
          <w:numId w:val="2"/>
        </w:numPr>
        <w:spacing w:after="40" w:before="40" w:line="300"/>
      </w:pPr>
      <w:r>
        <w:rPr>
          <w:rFonts w:ascii="Arial" w:cs="Arial" w:eastAsia="Arial" w:hAnsi="Arial"/>
          <w:b/>
          <w:bCs/>
          <w:color w:val="1F1E1E"/>
          <w:sz w:val="22"/>
          <w:szCs w:val="22"/>
        </w:rPr>
        <w:t xml:space="preserve">Privacy Complaints.</w:t>
      </w:r>
      <w:r>
        <w:rPr>
          <w:rFonts w:ascii="Arial" w:cs="Arial" w:eastAsia="Arial" w:hAnsi="Arial"/>
          <w:color w:val="1F1E1E"/>
          <w:sz w:val="22"/>
          <w:szCs w:val="22"/>
        </w:rPr>
        <w:t xml:space="preserve"> File a complaint with the Texas Attorney General's Office regarding TDPSA violations.</w:t>
      </w:r>
    </w:p>
    <w:p>
      <w:pPr>
        <w:pStyle w:val="ListParagraph"/>
        <w:numPr>
          <w:ilvl w:val="0"/>
          <w:numId w:val="2"/>
        </w:numPr>
        <w:spacing w:after="40" w:before="40" w:line="300"/>
      </w:pPr>
      <w:r>
        <w:rPr>
          <w:rFonts w:ascii="Arial" w:cs="Arial" w:eastAsia="Arial" w:hAnsi="Arial"/>
          <w:b/>
          <w:bCs/>
          <w:color w:val="1F1E1E"/>
          <w:sz w:val="22"/>
          <w:szCs w:val="22"/>
        </w:rPr>
        <w:t xml:space="preserve">General Inquiries.</w:t>
      </w:r>
      <w:r>
        <w:rPr>
          <w:rFonts w:ascii="Arial" w:cs="Arial" w:eastAsia="Arial" w:hAnsi="Arial"/>
          <w:color w:val="1F1E1E"/>
          <w:sz w:val="22"/>
          <w:szCs w:val="22"/>
        </w:rPr>
        <w:t xml:space="preserve"> Contact the Foundation at info@holonfoundation.org.</w:t>
      </w:r>
    </w:p>
    <w:p>
      <w:pPr>
        <w:keepNext/>
        <w:spacing w:after="160" w:before="360"/>
      </w:pPr>
      <w:r>
        <w:rPr>
          <w:rFonts w:ascii="Arial" w:cs="Arial" w:eastAsia="Arial" w:hAnsi="Arial"/>
          <w:b/>
          <w:bCs/>
          <w:color w:val="561217"/>
          <w:sz w:val="26"/>
          <w:szCs w:val="26"/>
        </w:rPr>
        <w:t xml:space="preserve">11. Policy Review &amp; Amendment</w:t>
      </w:r>
    </w:p>
    <w:p>
      <w:pPr>
        <w:spacing w:after="120" w:before="60" w:line="320"/>
        <w:jc w:val="both"/>
      </w:pPr>
      <w:r>
        <w:rPr>
          <w:rFonts w:ascii="Arial" w:cs="Arial" w:eastAsia="Arial" w:hAnsi="Arial"/>
          <w:color w:val="1F1E1E"/>
          <w:sz w:val="22"/>
          <w:szCs w:val="22"/>
        </w:rPr>
        <w:t xml:space="preserve">This policy is reviewed at least annually by the Board of Directors or their designated committee. Amendments may be made as needed to address emerging threats, regulatory changes, or technology updates. Material changes to this policy will be communicated to all affected personnel and published on the Foundation website.</w:t>
      </w:r>
    </w:p>
    <w:p>
      <w:pPr>
        <w:spacing w:after="120" w:before="60" w:line="320"/>
        <w:jc w:val="both"/>
      </w:pPr>
      <w:r>
        <w:rPr>
          <w:rFonts w:ascii="Arial" w:cs="Arial" w:eastAsia="Arial" w:hAnsi="Arial"/>
          <w:b/>
          <w:bCs/>
          <w:color w:val="1F1E1E"/>
          <w:sz w:val="22"/>
          <w:szCs w:val="22"/>
        </w:rPr>
        <w:t xml:space="preserve">Policy Owner:</w:t>
      </w:r>
      <w:r>
        <w:rPr>
          <w:rFonts w:ascii="Arial" w:cs="Arial" w:eastAsia="Arial" w:hAnsi="Arial"/>
          <w:color w:val="1F1E1E"/>
          <w:sz w:val="22"/>
          <w:szCs w:val="22"/>
        </w:rPr>
        <w:t xml:space="preserve"> Board of Directors, Holon Foundation </w:t>
      </w:r>
      <w:r>
        <w:rPr>
          <w:rFonts w:ascii="Arial" w:cs="Arial" w:eastAsia="Arial" w:hAnsi="Arial"/>
          <w:b/>
          <w:bCs/>
          <w:color w:val="1F1E1E"/>
          <w:sz w:val="22"/>
          <w:szCs w:val="22"/>
        </w:rPr>
        <w:t xml:space="preserve">Last Reviewed:</w:t>
      </w:r>
      <w:r>
        <w:rPr>
          <w:rFonts w:ascii="Arial" w:cs="Arial" w:eastAsia="Arial" w:hAnsi="Arial"/>
          <w:color w:val="1F1E1E"/>
          <w:sz w:val="22"/>
          <w:szCs w:val="22"/>
        </w:rPr>
        <w:t xml:space="preserve"> [INSERT] </w:t>
      </w:r>
      <w:r>
        <w:rPr>
          <w:rFonts w:ascii="Arial" w:cs="Arial" w:eastAsia="Arial" w:hAnsi="Arial"/>
          <w:b/>
          <w:bCs/>
          <w:color w:val="1F1E1E"/>
          <w:sz w:val="22"/>
          <w:szCs w:val="22"/>
        </w:rPr>
        <w:t xml:space="preserve">Next Review:</w:t>
      </w:r>
      <w:r>
        <w:rPr>
          <w:rFonts w:ascii="Arial" w:cs="Arial" w:eastAsia="Arial" w:hAnsi="Arial"/>
          <w:color w:val="1F1E1E"/>
          <w:sz w:val="22"/>
          <w:szCs w:val="22"/>
        </w:rPr>
        <w:t xml:space="preserve"> [INSERT + 12 months] (or sooner if triggered by material changes)</w:t>
      </w:r>
    </w:p>
    <w:p>
      <w:pPr>
        <w:spacing w:after="120" w:before="60" w:line="320"/>
        <w:jc w:val="both"/>
      </w:pPr>
      <w:r>
        <w:rPr>
          <w:rFonts w:ascii="Arial" w:cs="Arial" w:eastAsia="Arial" w:hAnsi="Arial"/>
          <w:color w:val="1F1E1E"/>
          <w:sz w:val="22"/>
          <w:szCs w:val="22"/>
        </w:rPr>
        <w:t xml:space="preserve">Holon Foundation  •  Houston, Texas  •  info@holonfoundation.org</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22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22  ·  DIGITAL SECURITY &amp; ACCESSIBILITY COMPLIANCE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Security &amp; Accessibility Compliance Policy</dc:title>
  <dc:creator>Holon Foundation</dc:creator>
  <dc:description>Holon Foundation — Policy No. 22</dc:description>
  <cp:lastModifiedBy>Un-named</cp:lastModifiedBy>
  <cp:revision>1</cp:revision>
  <dcterms:created xsi:type="dcterms:W3CDTF">2026-05-21T02:41:42.624Z</dcterms:created>
  <dcterms:modified xsi:type="dcterms:W3CDTF">2026-05-21T02:41:42.624Z</dcterms:modified>
</cp:coreProperties>
</file>

<file path=docProps/custom.xml><?xml version="1.0" encoding="utf-8"?>
<Properties xmlns="http://schemas.openxmlformats.org/officeDocument/2006/custom-properties" xmlns:vt="http://schemas.openxmlformats.org/officeDocument/2006/docPropsVTypes"/>
</file>