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21</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Garden Reporting &amp; Trust Integrity Policy</w:t>
      </w:r>
    </w:p>
    <w:p>
      <w:pPr>
        <w:spacing w:after="0" w:before="0"/>
        <w:jc w:val="center"/>
      </w:pPr>
      <w:r>
        <w:rPr>
          <w:rFonts w:ascii="Arial" w:cs="Arial" w:eastAsia="Arial" w:hAnsi="Arial"/>
          <w:i/>
          <w:iCs/>
          <w:color w:val="4A4A4A"/>
          <w:sz w:val="20"/>
          <w:szCs w:val="20"/>
        </w:rPr>
        <w:t xml:space="preserve">Holon Foundation — Policy No. 21</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Defamation Posture and Section 230 framing (47 U.S.C. § 230), plus the Texas Defamation Mitigation Act procedure (Civ. Prac. &amp; Rem. Code § 73.055), giving stewards a 30-day correction/retraction mechanism.</w:t>
      </w:r>
    </w:p>
    <w:p>
      <w:pPr>
        <w:pStyle w:val="ListParagraph"/>
        <w:numPr>
          <w:ilvl w:val="0"/>
          <w:numId w:val="2"/>
        </w:numPr>
        <w:spacing w:after="40" w:before="40" w:line="300"/>
      </w:pPr>
      <w:r>
        <w:rPr>
          <w:rFonts w:ascii="Arial" w:cs="Arial" w:eastAsia="Arial" w:hAnsi="Arial"/>
          <w:color w:val="1F1E1E"/>
          <w:sz w:val="22"/>
          <w:szCs w:val="22"/>
        </w:rPr>
        <w:t xml:space="preserve">Added Algorithmic Components and AI Ethics subsection cross-referencing Holon Foundation Policy No. 17 with a published Trust Algorithm Specification and annual fairness audit.</w:t>
      </w:r>
    </w:p>
    <w:p>
      <w:pPr>
        <w:pStyle w:val="ListParagraph"/>
        <w:numPr>
          <w:ilvl w:val="0"/>
          <w:numId w:val="2"/>
        </w:numPr>
        <w:spacing w:after="40" w:before="40" w:line="300"/>
      </w:pPr>
      <w:r>
        <w:rPr>
          <w:rFonts w:ascii="Arial" w:cs="Arial" w:eastAsia="Arial" w:hAnsi="Arial"/>
          <w:color w:val="1F1E1E"/>
          <w:sz w:val="22"/>
          <w:szCs w:val="22"/>
        </w:rPr>
        <w:t xml:space="preserve">Added Minor Stewards subsection routing all notice and appeal communications to parents/guardians, with escalation to Policy No. 33 and Texas Family Code Ch. 261 for abuse/neglect concerns.</w:t>
      </w:r>
    </w:p>
    <w:p>
      <w:pPr>
        <w:pStyle w:val="ListParagraph"/>
        <w:numPr>
          <w:ilvl w:val="0"/>
          <w:numId w:val="2"/>
        </w:numPr>
        <w:spacing w:after="40" w:before="40" w:line="300"/>
      </w:pPr>
      <w:r>
        <w:rPr>
          <w:rFonts w:ascii="Arial" w:cs="Arial" w:eastAsia="Arial" w:hAnsi="Arial"/>
          <w:color w:val="1F1E1E"/>
          <w:sz w:val="22"/>
          <w:szCs w:val="22"/>
        </w:rPr>
        <w:t xml:space="preserve">Added Second-Stage Escalation to the Governance Committee for high-severity decisions, preserving administrative finality while reducing litigation pressure.</w:t>
      </w:r>
    </w:p>
    <w:p>
      <w:pPr>
        <w:pStyle w:val="ListParagraph"/>
        <w:numPr>
          <w:ilvl w:val="0"/>
          <w:numId w:val="2"/>
        </w:numPr>
        <w:spacing w:after="40" w:before="40" w:line="300"/>
      </w:pPr>
      <w:r>
        <w:rPr>
          <w:rFonts w:ascii="Arial" w:cs="Arial" w:eastAsia="Arial" w:hAnsi="Arial"/>
          <w:color w:val="1F1E1E"/>
          <w:sz w:val="22"/>
          <w:szCs w:val="22"/>
        </w:rPr>
        <w:t xml:space="preserve">Expanded Coordinated Attack Detection with IP/device fingerprinting acknowledgment, proportionality safeguard, and Texas Computer Crimes Act referral path.</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 &amp; Scope</w:t>
      </w:r>
    </w:p>
    <w:p>
      <w:pPr>
        <w:spacing w:after="120" w:before="60" w:line="320"/>
        <w:jc w:val="both"/>
      </w:pPr>
      <w:r>
        <w:rPr>
          <w:rFonts w:ascii="Arial" w:cs="Arial" w:eastAsia="Arial" w:hAnsi="Arial"/>
          <w:color w:val="1F1E1E"/>
          <w:sz w:val="22"/>
          <w:szCs w:val="22"/>
        </w:rPr>
        <w:t xml:space="preserve">This policy establishes the framework for reporting, reviewing, and resolving concerns about gardens registered in the Holon Trust Portal. It safeguards the integrity of our community trust system while protecting both reporters and garden stewards from abuse.</w:t>
      </w:r>
    </w:p>
    <w:p>
      <w:pPr>
        <w:spacing w:after="120" w:before="60" w:line="320"/>
        <w:jc w:val="both"/>
      </w:pPr>
      <w:r>
        <w:rPr>
          <w:rFonts w:ascii="Arial" w:cs="Arial" w:eastAsia="Arial" w:hAnsi="Arial"/>
          <w:color w:val="1F1E1E"/>
          <w:sz w:val="22"/>
          <w:szCs w:val="22"/>
        </w:rPr>
        <w:t xml:space="preserve">The Holon Foundation operates a technology-mediated trust system in which community members verify each other's conservation commitments. This policy ensures that the mechanisms for identifying problems are as carefully engineered as the mechanisms for building trust.</w:t>
      </w:r>
    </w:p>
    <w:p>
      <w:pPr>
        <w:spacing w:after="120" w:before="60" w:line="320"/>
        <w:jc w:val="both"/>
      </w:pPr>
      <w:r>
        <w:rPr>
          <w:rFonts w:ascii="Arial" w:cs="Arial" w:eastAsia="Arial" w:hAnsi="Arial"/>
          <w:color w:val="1F1E1E"/>
          <w:sz w:val="22"/>
          <w:szCs w:val="22"/>
        </w:rPr>
        <w:t xml:space="preserve">This policy applies to: all registered users of the Holon Trust Portal who submit or are the subject of garden concern reports, as well as all Holon Foundation staff, administrators, and moderators involved in the review process.</w:t>
      </w:r>
    </w:p>
    <w:p>
      <w:pPr>
        <w:keepNext/>
        <w:spacing w:after="160" w:before="360"/>
      </w:pPr>
      <w:r>
        <w:rPr>
          <w:rFonts w:ascii="Arial" w:cs="Arial" w:eastAsia="Arial" w:hAnsi="Arial"/>
          <w:b/>
          <w:bCs/>
          <w:color w:val="561217"/>
          <w:sz w:val="26"/>
          <w:szCs w:val="26"/>
        </w:rPr>
        <w:t xml:space="preserve">2. Guiding Principles</w:t>
      </w:r>
    </w:p>
    <w:p>
      <w:pPr>
        <w:spacing w:after="120" w:before="60" w:line="320"/>
        <w:jc w:val="both"/>
      </w:pPr>
      <w:r>
        <w:rPr>
          <w:rFonts w:ascii="Arial" w:cs="Arial" w:eastAsia="Arial" w:hAnsi="Arial"/>
          <w:color w:val="1F1E1E"/>
          <w:sz w:val="22"/>
          <w:szCs w:val="22"/>
        </w:rPr>
        <w:t xml:space="preserve">The garden reporting system is governed by six principles drawn from best practices across community platforms, nonprofit governance standards, and our own systems engineering philosophy:</w:t>
      </w:r>
    </w:p>
    <w:p>
      <w:pPr>
        <w:spacing w:after="120" w:before="60" w:line="320"/>
        <w:jc w:val="both"/>
      </w:pPr>
      <w:r>
        <w:rPr>
          <w:rFonts w:ascii="Arial" w:cs="Arial" w:eastAsia="Arial" w:hAnsi="Arial"/>
          <w:color w:val="1F1E1E"/>
          <w:sz w:val="22"/>
          <w:szCs w:val="22"/>
        </w:rPr>
        <w:t xml:space="preserve">1. </w:t>
      </w:r>
      <w:r>
        <w:rPr>
          <w:rFonts w:ascii="Arial" w:cs="Arial" w:eastAsia="Arial" w:hAnsi="Arial"/>
          <w:b/>
          <w:bCs/>
          <w:color w:val="1F1E1E"/>
          <w:sz w:val="22"/>
          <w:szCs w:val="22"/>
        </w:rPr>
        <w:t xml:space="preserve">Evidence-Based Assessment.</w:t>
      </w:r>
      <w:r>
        <w:rPr>
          <w:rFonts w:ascii="Arial" w:cs="Arial" w:eastAsia="Arial" w:hAnsi="Arial"/>
          <w:color w:val="1F1E1E"/>
          <w:sz w:val="22"/>
          <w:szCs w:val="22"/>
        </w:rPr>
        <w:t xml:space="preserve"> All reports must cite observable, documented facts. Subjective opinions or assumptions about a steward's character or intent are insufficient grounds for action. 2. </w:t>
      </w:r>
      <w:r>
        <w:rPr>
          <w:rFonts w:ascii="Arial" w:cs="Arial" w:eastAsia="Arial" w:hAnsi="Arial"/>
          <w:b/>
          <w:bCs/>
          <w:color w:val="1F1E1E"/>
          <w:sz w:val="22"/>
          <w:szCs w:val="22"/>
        </w:rPr>
        <w:t xml:space="preserve">Due Process &amp; Fairness.</w:t>
      </w:r>
      <w:r>
        <w:rPr>
          <w:rFonts w:ascii="Arial" w:cs="Arial" w:eastAsia="Arial" w:hAnsi="Arial"/>
          <w:color w:val="1F1E1E"/>
          <w:sz w:val="22"/>
          <w:szCs w:val="22"/>
        </w:rPr>
        <w:t xml:space="preserve"> No trust score reduction or status change will occur without the steward being notified, given an opportunity to respond, and having their response reviewed by a separate moderator. 3. </w:t>
      </w:r>
      <w:r>
        <w:rPr>
          <w:rFonts w:ascii="Arial" w:cs="Arial" w:eastAsia="Arial" w:hAnsi="Arial"/>
          <w:b/>
          <w:bCs/>
          <w:color w:val="1F1E1E"/>
          <w:sz w:val="22"/>
          <w:szCs w:val="22"/>
        </w:rPr>
        <w:t xml:space="preserve">Graduated Response.</w:t>
      </w:r>
      <w:r>
        <w:rPr>
          <w:rFonts w:ascii="Arial" w:cs="Arial" w:eastAsia="Arial" w:hAnsi="Arial"/>
          <w:color w:val="1F1E1E"/>
          <w:sz w:val="22"/>
          <w:szCs w:val="22"/>
        </w:rPr>
        <w:t xml:space="preserve"> Actions escalate proportionally to the severity and frequency of verified concerns. Minor issues receive guidance; only persistent or severe violations trigger trust score impacts. 4. </w:t>
      </w:r>
      <w:r>
        <w:rPr>
          <w:rFonts w:ascii="Arial" w:cs="Arial" w:eastAsia="Arial" w:hAnsi="Arial"/>
          <w:b/>
          <w:bCs/>
          <w:color w:val="1F1E1E"/>
          <w:sz w:val="22"/>
          <w:szCs w:val="22"/>
        </w:rPr>
        <w:t xml:space="preserve">Reporter Accountability.</w:t>
      </w:r>
      <w:r>
        <w:rPr>
          <w:rFonts w:ascii="Arial" w:cs="Arial" w:eastAsia="Arial" w:hAnsi="Arial"/>
          <w:color w:val="1F1E1E"/>
          <w:sz w:val="22"/>
          <w:szCs w:val="22"/>
        </w:rPr>
        <w:t xml:space="preserve"> The reporting system tracks reporter accuracy over time. False, malicious, or coordinated reports result in restrictions on the reporter's account. 5. </w:t>
      </w:r>
      <w:r>
        <w:rPr>
          <w:rFonts w:ascii="Arial" w:cs="Arial" w:eastAsia="Arial" w:hAnsi="Arial"/>
          <w:b/>
          <w:bCs/>
          <w:color w:val="1F1E1E"/>
          <w:sz w:val="22"/>
          <w:szCs w:val="22"/>
        </w:rPr>
        <w:t xml:space="preserve">Transparency &amp; Auditability.</w:t>
      </w:r>
      <w:r>
        <w:rPr>
          <w:rFonts w:ascii="Arial" w:cs="Arial" w:eastAsia="Arial" w:hAnsi="Arial"/>
          <w:color w:val="1F1E1E"/>
          <w:sz w:val="22"/>
          <w:szCs w:val="22"/>
        </w:rPr>
        <w:t xml:space="preserve"> All moderation decisions are logged with reasoning, timestamps, and reviewer identity. Patterns of enforcement are reviewed quarterly to ensure consistency. 6. </w:t>
      </w:r>
      <w:r>
        <w:rPr>
          <w:rFonts w:ascii="Arial" w:cs="Arial" w:eastAsia="Arial" w:hAnsi="Arial"/>
          <w:b/>
          <w:bCs/>
          <w:color w:val="1F1E1E"/>
          <w:sz w:val="22"/>
          <w:szCs w:val="22"/>
        </w:rPr>
        <w:t xml:space="preserve">System Integrity.</w:t>
      </w:r>
      <w:r>
        <w:rPr>
          <w:rFonts w:ascii="Arial" w:cs="Arial" w:eastAsia="Arial" w:hAnsi="Arial"/>
          <w:color w:val="1F1E1E"/>
          <w:sz w:val="22"/>
          <w:szCs w:val="22"/>
        </w:rPr>
        <w:t xml:space="preserve"> Safeguards prevent weaponization of the reporting system through rate limiting, duplicate detection, coordinated-attack monitoring, and minimum account age requirements.</w:t>
      </w:r>
    </w:p>
    <w:p>
      <w:pPr>
        <w:keepNext/>
        <w:spacing w:after="160" w:before="360"/>
      </w:pPr>
      <w:r>
        <w:rPr>
          <w:rFonts w:ascii="Arial" w:cs="Arial" w:eastAsia="Arial" w:hAnsi="Arial"/>
          <w:b/>
          <w:bCs/>
          <w:color w:val="561217"/>
          <w:sz w:val="26"/>
          <w:szCs w:val="26"/>
        </w:rPr>
        <w:t xml:space="preserve">3. Defamation Posture and Section 230</w:t>
      </w:r>
    </w:p>
    <w:p>
      <w:pPr>
        <w:spacing w:after="120" w:before="60" w:line="320"/>
        <w:jc w:val="both"/>
      </w:pPr>
      <w:r>
        <w:rPr>
          <w:rFonts w:ascii="Arial" w:cs="Arial" w:eastAsia="Arial" w:hAnsi="Arial"/>
          <w:color w:val="1F1E1E"/>
          <w:sz w:val="22"/>
          <w:szCs w:val="22"/>
        </w:rPr>
        <w:t xml:space="preserve">Reports submitted through the Trust Portal are user-generated content. The Foundation operates as an interactive computer service for purposes of 47 U.S.C. § 230, and is generally not liable as a publisher or speaker of information provided by reporters. The Foundation reserves the right to moderate, dismiss, or remove reports without becoming a publisher.</w:t>
      </w:r>
    </w:p>
    <w:p>
      <w:pPr>
        <w:spacing w:after="120" w:before="60" w:line="320"/>
        <w:jc w:val="both"/>
      </w:pPr>
      <w:r>
        <w:rPr>
          <w:rFonts w:ascii="Arial" w:cs="Arial" w:eastAsia="Arial" w:hAnsi="Arial"/>
          <w:b/>
          <w:bCs/>
          <w:color w:val="1F1E1E"/>
          <w:sz w:val="22"/>
          <w:szCs w:val="22"/>
        </w:rPr>
        <w:t xml:space="preserve">Texas Defamation Mitigation Procedure.</w:t>
      </w:r>
      <w:r>
        <w:rPr>
          <w:rFonts w:ascii="Arial" w:cs="Arial" w:eastAsia="Arial" w:hAnsi="Arial"/>
          <w:color w:val="1F1E1E"/>
          <w:sz w:val="22"/>
          <w:szCs w:val="22"/>
        </w:rPr>
        <w:t xml:space="preserve"> If a garden steward believes a report contains defamatory statements, they may serve a written request for correction or retraction on the Foundation under Texas Civil Practice &amp; Remedies Code § 73.055 within ninety (90) days of becoming aware of the publication. The Foundation shall investigate the request promptly, and where appropriate correct or remove the content within thirty (30) days. Compliance with this procedure may, under Texas law, limit recoverable damages in any subsequent defamation action.</w:t>
      </w:r>
    </w:p>
    <w:p>
      <w:pPr>
        <w:keepNext/>
        <w:spacing w:after="160" w:before="360"/>
      </w:pPr>
      <w:r>
        <w:rPr>
          <w:rFonts w:ascii="Arial" w:cs="Arial" w:eastAsia="Arial" w:hAnsi="Arial"/>
          <w:b/>
          <w:bCs/>
          <w:color w:val="561217"/>
          <w:sz w:val="26"/>
          <w:szCs w:val="26"/>
        </w:rPr>
        <w:t xml:space="preserve">4. Categories of Reportable Concerns</w:t>
      </w:r>
    </w:p>
    <w:p>
      <w:pPr>
        <w:spacing w:after="120" w:before="60" w:line="320"/>
        <w:jc w:val="both"/>
      </w:pPr>
      <w:r>
        <w:rPr>
          <w:rFonts w:ascii="Arial" w:cs="Arial" w:eastAsia="Arial" w:hAnsi="Arial"/>
          <w:color w:val="1F1E1E"/>
          <w:sz w:val="22"/>
          <w:szCs w:val="22"/>
        </w:rPr>
        <w:t xml:space="preserve">The following categories of garden concerns may be reported through the Trust Portal: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Category</w:t>
            </w:r>
          </w:p>
        </w:tc>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Description</w:t>
            </w:r>
          </w:p>
        </w:tc>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Photo Required</w:t>
            </w:r>
          </w:p>
        </w:tc>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Severity Range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Garden Neglect or Abandonment</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Visible signs of prolonged non-maintenance: dead plants, compacted soil, overgrown weeds, accumulated debris.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Yes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Minor–Severe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False Species or Commitment Claims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Species listed in commitments not present in the garden, or commitment descriptions that do not match observable conditions.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Yes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Moderate–Severe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Invasive Species Present</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Non-native invasive species identified in the garden that could spread to neighboring conservation areas.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Yes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Moderate–Severe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Safety Hazard</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Conditions posing risk to visitors: unstable structures, exposed nails, toxic materials, standing water breeding mosquitoes.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Yes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Severe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Plant Disease or Pest Risk</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Visible disease, fungal infection, or significant pest infestation that could affect the broader community.</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Yes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Minor–Moderate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Policy Violation</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Actions that violate the Holon Foundation Code of Conduct, Covenant of Stewardship, or community guidelines.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Optional</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Minor–Severe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Other Concern</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Issues not covered above but relevant to the garden's conservation mission or community impact.</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Recommended</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Minor–Moderate</w:t>
            </w:r>
          </w:p>
        </w:tc>
      </w:tr>
    </w:tbl>
    <w:p>
      <w:pPr>
        <w:keepNext/>
        <w:spacing w:after="160" w:before="360"/>
      </w:pPr>
      <w:r>
        <w:rPr>
          <w:rFonts w:ascii="Arial" w:cs="Arial" w:eastAsia="Arial" w:hAnsi="Arial"/>
          <w:b/>
          <w:bCs/>
          <w:color w:val="561217"/>
          <w:sz w:val="26"/>
          <w:szCs w:val="26"/>
        </w:rPr>
        <w:t xml:space="preserve">5. Reporting Process</w:t>
      </w:r>
    </w:p>
    <w:p>
      <w:pPr>
        <w:keepNext/>
        <w:spacing w:after="120" w:before="240"/>
      </w:pPr>
      <w:r>
        <w:rPr>
          <w:rFonts w:ascii="Arial" w:cs="Arial" w:eastAsia="Arial" w:hAnsi="Arial"/>
          <w:b/>
          <w:bCs/>
          <w:color w:val="3B5937"/>
          <w:sz w:val="22"/>
          <w:szCs w:val="22"/>
        </w:rPr>
        <w:t xml:space="preserve">5.1 Submission Requirements</w:t>
      </w:r>
    </w:p>
    <w:p>
      <w:pPr>
        <w:spacing w:after="120" w:before="60" w:line="320"/>
        <w:jc w:val="both"/>
      </w:pPr>
      <w:r>
        <w:rPr>
          <w:rFonts w:ascii="Arial" w:cs="Arial" w:eastAsia="Arial" w:hAnsi="Arial"/>
          <w:color w:val="1F1E1E"/>
          <w:sz w:val="22"/>
          <w:szCs w:val="22"/>
        </w:rPr>
        <w:t xml:space="preserve">To submit a garden concern report, the reporter must provide:</w:t>
      </w:r>
    </w:p>
    <w:p>
      <w:pPr>
        <w:pStyle w:val="ListParagraph"/>
        <w:numPr>
          <w:ilvl w:val="0"/>
          <w:numId w:val="2"/>
        </w:numPr>
        <w:spacing w:after="40" w:before="40" w:line="300"/>
      </w:pPr>
      <w:r>
        <w:rPr>
          <w:rFonts w:ascii="Arial" w:cs="Arial" w:eastAsia="Arial" w:hAnsi="Arial"/>
          <w:color w:val="1F1E1E"/>
          <w:sz w:val="22"/>
          <w:szCs w:val="22"/>
        </w:rPr>
        <w:t xml:space="preserve">The specific category of concern (from Section 4)</w:t>
      </w:r>
    </w:p>
    <w:p>
      <w:pPr>
        <w:pStyle w:val="ListParagraph"/>
        <w:numPr>
          <w:ilvl w:val="0"/>
          <w:numId w:val="2"/>
        </w:numPr>
        <w:spacing w:after="40" w:before="40" w:line="300"/>
      </w:pPr>
      <w:r>
        <w:rPr>
          <w:rFonts w:ascii="Arial" w:cs="Arial" w:eastAsia="Arial" w:hAnsi="Arial"/>
          <w:color w:val="1F1E1E"/>
          <w:sz w:val="22"/>
          <w:szCs w:val="22"/>
        </w:rPr>
        <w:t xml:space="preserve">A severity assessment (Minor, Moderate, or Severe)</w:t>
      </w:r>
    </w:p>
    <w:p>
      <w:pPr>
        <w:pStyle w:val="ListParagraph"/>
        <w:numPr>
          <w:ilvl w:val="0"/>
          <w:numId w:val="2"/>
        </w:numPr>
        <w:spacing w:after="40" w:before="40" w:line="300"/>
      </w:pPr>
      <w:r>
        <w:rPr>
          <w:rFonts w:ascii="Arial" w:cs="Arial" w:eastAsia="Arial" w:hAnsi="Arial"/>
          <w:color w:val="1F1E1E"/>
          <w:sz w:val="22"/>
          <w:szCs w:val="22"/>
        </w:rPr>
        <w:t xml:space="preserve">A factual description of what was directly observed</w:t>
      </w:r>
    </w:p>
    <w:p>
      <w:pPr>
        <w:pStyle w:val="ListParagraph"/>
        <w:numPr>
          <w:ilvl w:val="0"/>
          <w:numId w:val="2"/>
        </w:numPr>
        <w:spacing w:after="40" w:before="40" w:line="300"/>
      </w:pPr>
      <w:r>
        <w:rPr>
          <w:rFonts w:ascii="Arial" w:cs="Arial" w:eastAsia="Arial" w:hAnsi="Arial"/>
          <w:color w:val="1F1E1E"/>
          <w:sz w:val="22"/>
          <w:szCs w:val="22"/>
        </w:rPr>
        <w:t xml:space="preserve">Photographic evidence with timestamp (required for condition-based reports)</w:t>
      </w:r>
    </w:p>
    <w:p>
      <w:pPr>
        <w:pStyle w:val="ListParagraph"/>
        <w:numPr>
          <w:ilvl w:val="0"/>
          <w:numId w:val="2"/>
        </w:numPr>
        <w:spacing w:after="40" w:before="40" w:line="300"/>
      </w:pPr>
      <w:r>
        <w:rPr>
          <w:rFonts w:ascii="Arial" w:cs="Arial" w:eastAsia="Arial" w:hAnsi="Arial"/>
          <w:color w:val="1F1E1E"/>
          <w:sz w:val="22"/>
          <w:szCs w:val="22"/>
        </w:rPr>
        <w:t xml:space="preserve">The date the condition was observed</w:t>
      </w:r>
    </w:p>
    <w:p>
      <w:pPr>
        <w:pStyle w:val="ListParagraph"/>
        <w:numPr>
          <w:ilvl w:val="0"/>
          <w:numId w:val="2"/>
        </w:numPr>
        <w:spacing w:after="40" w:before="40" w:line="300"/>
      </w:pPr>
      <w:r>
        <w:rPr>
          <w:rFonts w:ascii="Arial" w:cs="Arial" w:eastAsia="Arial" w:hAnsi="Arial"/>
          <w:color w:val="1F1E1E"/>
          <w:sz w:val="22"/>
          <w:szCs w:val="22"/>
        </w:rPr>
        <w:t xml:space="preserve">Geographic location confirmation (auto-detected via GPS)</w:t>
      </w:r>
    </w:p>
    <w:p>
      <w:pPr>
        <w:spacing w:after="120" w:before="60" w:line="320"/>
        <w:jc w:val="both"/>
      </w:pPr>
      <w:r>
        <w:rPr>
          <w:rFonts w:ascii="Arial" w:cs="Arial" w:eastAsia="Arial" w:hAnsi="Arial"/>
          <w:color w:val="1F1E1E"/>
          <w:sz w:val="22"/>
          <w:szCs w:val="22"/>
        </w:rPr>
        <w:t xml:space="preserve">Optional fields: specific commitment code affected, suggested resolution.</w:t>
      </w:r>
    </w:p>
    <w:p>
      <w:pPr>
        <w:keepNext/>
        <w:spacing w:after="120" w:before="240"/>
      </w:pPr>
      <w:r>
        <w:rPr>
          <w:rFonts w:ascii="Arial" w:cs="Arial" w:eastAsia="Arial" w:hAnsi="Arial"/>
          <w:b/>
          <w:bCs/>
          <w:color w:val="3B5937"/>
          <w:sz w:val="22"/>
          <w:szCs w:val="22"/>
        </w:rPr>
        <w:t xml:space="preserve">5.2 Safeguards Against Abuse</w:t>
      </w:r>
    </w:p>
    <w:p>
      <w:pPr>
        <w:spacing w:after="120" w:before="60" w:line="320"/>
        <w:jc w:val="both"/>
      </w:pPr>
      <w:r>
        <w:rPr>
          <w:rFonts w:ascii="Arial" w:cs="Arial" w:eastAsia="Arial" w:hAnsi="Arial"/>
          <w:color w:val="1F1E1E"/>
          <w:sz w:val="22"/>
          <w:szCs w:val="22"/>
        </w:rPr>
        <w:t xml:space="preserve">The following automated safeguards are enforced at the time of submission:</w:t>
      </w:r>
    </w:p>
    <w:p>
      <w:pPr>
        <w:pStyle w:val="ListParagraph"/>
        <w:numPr>
          <w:ilvl w:val="0"/>
          <w:numId w:val="2"/>
        </w:numPr>
        <w:spacing w:after="40" w:before="40" w:line="300"/>
      </w:pPr>
      <w:r>
        <w:rPr>
          <w:rFonts w:ascii="Arial" w:cs="Arial" w:eastAsia="Arial" w:hAnsi="Arial"/>
          <w:b/>
          <w:bCs/>
          <w:color w:val="1F1E1E"/>
          <w:sz w:val="22"/>
          <w:szCs w:val="22"/>
        </w:rPr>
        <w:t xml:space="preserve">Rate Limiting.</w:t>
      </w:r>
      <w:r>
        <w:rPr>
          <w:rFonts w:ascii="Arial" w:cs="Arial" w:eastAsia="Arial" w:hAnsi="Arial"/>
          <w:color w:val="1F1E1E"/>
          <w:sz w:val="22"/>
          <w:szCs w:val="22"/>
        </w:rPr>
        <w:t xml:space="preserve"> Maximum 3 garden reports per user per 7-day period. Urgent safety concerns outside this limit must be emailed to info@holonfoundation.org.</w:t>
      </w:r>
    </w:p>
    <w:p>
      <w:pPr>
        <w:pStyle w:val="ListParagraph"/>
        <w:numPr>
          <w:ilvl w:val="0"/>
          <w:numId w:val="2"/>
        </w:numPr>
        <w:spacing w:after="40" w:before="40" w:line="300"/>
      </w:pPr>
      <w:r>
        <w:rPr>
          <w:rFonts w:ascii="Arial" w:cs="Arial" w:eastAsia="Arial" w:hAnsi="Arial"/>
          <w:b/>
          <w:bCs/>
          <w:color w:val="1F1E1E"/>
          <w:sz w:val="22"/>
          <w:szCs w:val="22"/>
        </w:rPr>
        <w:t xml:space="preserve">Duplicate Prevention.</w:t>
      </w:r>
      <w:r>
        <w:rPr>
          <w:rFonts w:ascii="Arial" w:cs="Arial" w:eastAsia="Arial" w:hAnsi="Arial"/>
          <w:color w:val="1F1E1E"/>
          <w:sz w:val="22"/>
          <w:szCs w:val="22"/>
        </w:rPr>
        <w:t xml:space="preserve"> Maximum 2 reports per user per garden per 30-day period. Additional concerns about the same garden should reference existing reports.</w:t>
      </w:r>
    </w:p>
    <w:p>
      <w:pPr>
        <w:pStyle w:val="ListParagraph"/>
        <w:numPr>
          <w:ilvl w:val="0"/>
          <w:numId w:val="2"/>
        </w:numPr>
        <w:spacing w:after="40" w:before="40" w:line="300"/>
      </w:pPr>
      <w:r>
        <w:rPr>
          <w:rFonts w:ascii="Arial" w:cs="Arial" w:eastAsia="Arial" w:hAnsi="Arial"/>
          <w:b/>
          <w:bCs/>
          <w:color w:val="1F1E1E"/>
          <w:sz w:val="22"/>
          <w:szCs w:val="22"/>
        </w:rPr>
        <w:t xml:space="preserve">Photo Requirement.</w:t>
      </w:r>
      <w:r>
        <w:rPr>
          <w:rFonts w:ascii="Arial" w:cs="Arial" w:eastAsia="Arial" w:hAnsi="Arial"/>
          <w:color w:val="1F1E1E"/>
          <w:sz w:val="22"/>
          <w:szCs w:val="22"/>
        </w:rPr>
        <w:t xml:space="preserve"> Condition-based reports (neglect, invasive species, disease, safety) require photographic evidence. Reports without evidence for these categories are rejected at submission.</w:t>
      </w:r>
    </w:p>
    <w:p>
      <w:pPr>
        <w:pStyle w:val="ListParagraph"/>
        <w:numPr>
          <w:ilvl w:val="0"/>
          <w:numId w:val="2"/>
        </w:numPr>
        <w:spacing w:after="40" w:before="40" w:line="300"/>
      </w:pPr>
      <w:r>
        <w:rPr>
          <w:rFonts w:ascii="Arial" w:cs="Arial" w:eastAsia="Arial" w:hAnsi="Arial"/>
          <w:b/>
          <w:bCs/>
          <w:color w:val="1F1E1E"/>
          <w:sz w:val="22"/>
          <w:szCs w:val="22"/>
        </w:rPr>
        <w:t xml:space="preserve">Account Standing.</w:t>
      </w:r>
      <w:r>
        <w:rPr>
          <w:rFonts w:ascii="Arial" w:cs="Arial" w:eastAsia="Arial" w:hAnsi="Arial"/>
          <w:color w:val="1F1E1E"/>
          <w:sz w:val="22"/>
          <w:szCs w:val="22"/>
        </w:rPr>
        <w:t xml:space="preserve"> Users whose previous reports have an accuracy rate below 30% (over 5+ reports) will have their reports flagged for priority review before processing.</w:t>
      </w:r>
    </w:p>
    <w:p>
      <w:pPr>
        <w:pStyle w:val="ListParagraph"/>
        <w:numPr>
          <w:ilvl w:val="0"/>
          <w:numId w:val="2"/>
        </w:numPr>
        <w:spacing w:after="40" w:before="40" w:line="300"/>
      </w:pPr>
      <w:r>
        <w:rPr>
          <w:rFonts w:ascii="Arial" w:cs="Arial" w:eastAsia="Arial" w:hAnsi="Arial"/>
          <w:b/>
          <w:bCs/>
          <w:color w:val="1F1E1E"/>
          <w:sz w:val="22"/>
          <w:szCs w:val="22"/>
        </w:rPr>
        <w:t xml:space="preserve">Coordinated Attack Detection.</w:t>
      </w:r>
      <w:r>
        <w:rPr>
          <w:rFonts w:ascii="Arial" w:cs="Arial" w:eastAsia="Arial" w:hAnsi="Arial"/>
          <w:color w:val="1F1E1E"/>
          <w:sz w:val="22"/>
          <w:szCs w:val="22"/>
        </w:rPr>
        <w:t xml:space="preserve"> See § 5.5 below.</w:t>
      </w:r>
    </w:p>
    <w:p>
      <w:pPr>
        <w:keepNext/>
        <w:spacing w:after="120" w:before="240"/>
      </w:pPr>
      <w:r>
        <w:rPr>
          <w:rFonts w:ascii="Arial" w:cs="Arial" w:eastAsia="Arial" w:hAnsi="Arial"/>
          <w:b/>
          <w:bCs/>
          <w:color w:val="3B5937"/>
          <w:sz w:val="22"/>
          <w:szCs w:val="22"/>
        </w:rPr>
        <w:t xml:space="preserve">5.3 Reporter Confidentiality</w:t>
      </w:r>
    </w:p>
    <w:p>
      <w:pPr>
        <w:spacing w:after="120" w:before="60" w:line="320"/>
        <w:jc w:val="both"/>
      </w:pPr>
      <w:r>
        <w:rPr>
          <w:rFonts w:ascii="Arial" w:cs="Arial" w:eastAsia="Arial" w:hAnsi="Arial"/>
          <w:color w:val="1F1E1E"/>
          <w:sz w:val="22"/>
          <w:szCs w:val="22"/>
        </w:rPr>
        <w:t xml:space="preserve">Reporter identities are kept confidential throughout the process. The garden steward is informed that a concern has been reported but is not told who submitted it. Internal records of reporter identity are maintained solely for accountability tracking and abuse detection. Reporters who wish to identify themselves may do so voluntarily.</w:t>
      </w:r>
    </w:p>
    <w:p>
      <w:pPr>
        <w:keepNext/>
        <w:spacing w:after="120" w:before="240"/>
      </w:pPr>
      <w:r>
        <w:rPr>
          <w:rFonts w:ascii="Arial" w:cs="Arial" w:eastAsia="Arial" w:hAnsi="Arial"/>
          <w:b/>
          <w:bCs/>
          <w:color w:val="3B5937"/>
          <w:sz w:val="22"/>
          <w:szCs w:val="22"/>
        </w:rPr>
        <w:t xml:space="preserve">5.4 Minor Stewards</w:t>
      </w:r>
    </w:p>
    <w:p>
      <w:pPr>
        <w:spacing w:after="120" w:before="60" w:line="320"/>
        <w:jc w:val="both"/>
      </w:pPr>
      <w:r>
        <w:rPr>
          <w:rFonts w:ascii="Arial" w:cs="Arial" w:eastAsia="Arial" w:hAnsi="Arial"/>
          <w:color w:val="1F1E1E"/>
          <w:sz w:val="22"/>
          <w:szCs w:val="22"/>
        </w:rPr>
        <w:t xml:space="preserve">Where a report concerns a garden whose registered steward is a minor (age 13–17) or where a minor is a primary participant, the following modifications apply:</w:t>
      </w:r>
    </w:p>
    <w:p>
      <w:pPr>
        <w:spacing w:after="120" w:before="60" w:line="320"/>
        <w:jc w:val="both"/>
      </w:pPr>
      <w:r>
        <w:rPr>
          <w:rFonts w:ascii="Arial" w:cs="Arial" w:eastAsia="Arial" w:hAnsi="Arial"/>
          <w:color w:val="1F1E1E"/>
          <w:sz w:val="22"/>
          <w:szCs w:val="22"/>
        </w:rPr>
        <w:t xml:space="preserve">(a) all notifications are routed to the registered parent or guardian, not the minor; (b) any photographic evidence retained from the report is held under heightened confidentiality protections consistent with Policy No. 15 and the Texas SCOPE Act; (c) response and appeal communications are conducted with the parent/guardian as the steward of record; (d) the trust-score impact is recorded against the family-account, not associated as a record against the minor individually; (e) if the report alleges abuse, neglect, or safety concerns affecting the minor, it is escalated immediately to the Child Safety incident path under Holon Foundation Policy No. 33 (Incident Reporting Policy), and reporting to Texas Department of Family and Protective Services may be required under Texas Family Code Ch. 261 if the Foundation has reasonable cause to believe abuse or neglect has occurred.</w:t>
      </w:r>
    </w:p>
    <w:p>
      <w:pPr>
        <w:keepNext/>
        <w:spacing w:after="120" w:before="240"/>
      </w:pPr>
      <w:r>
        <w:rPr>
          <w:rFonts w:ascii="Arial" w:cs="Arial" w:eastAsia="Arial" w:hAnsi="Arial"/>
          <w:b/>
          <w:bCs/>
          <w:color w:val="3B5937"/>
          <w:sz w:val="22"/>
          <w:szCs w:val="22"/>
        </w:rPr>
        <w:t xml:space="preserve">5.5 Coordinated Attack Detection</w:t>
      </w:r>
    </w:p>
    <w:p>
      <w:pPr>
        <w:spacing w:after="120" w:before="60" w:line="320"/>
        <w:jc w:val="both"/>
      </w:pPr>
      <w:r>
        <w:rPr>
          <w:rFonts w:ascii="Arial" w:cs="Arial" w:eastAsia="Arial" w:hAnsi="Arial"/>
          <w:color w:val="1F1E1E"/>
          <w:sz w:val="22"/>
          <w:szCs w:val="22"/>
        </w:rPr>
        <w:t xml:space="preserve">The Foundation may flag for coordinated-attack review:</w:t>
      </w:r>
    </w:p>
    <w:p>
      <w:pPr>
        <w:spacing w:after="120" w:before="60" w:line="320"/>
        <w:jc w:val="both"/>
      </w:pPr>
      <w:r>
        <w:rPr>
          <w:rFonts w:ascii="Arial" w:cs="Arial" w:eastAsia="Arial" w:hAnsi="Arial"/>
          <w:color w:val="1F1E1E"/>
          <w:sz w:val="22"/>
          <w:szCs w:val="22"/>
        </w:rPr>
        <w:t xml:space="preserve">(a) multiple reports against the same garden from different accounts within a 24-hour window; (b) reports submitted from accounts sharing IP addresses, device fingerprints, or registration patterns suggesting coordination; (c) reports submitted across a 7-day window using substantially similar language or evidence; (d) report bursts following any public dispute or social-media post about a steward.</w:t>
      </w:r>
    </w:p>
    <w:p>
      <w:pPr>
        <w:spacing w:after="120" w:before="60" w:line="320"/>
        <w:jc w:val="both"/>
      </w:pPr>
      <w:r>
        <w:rPr>
          <w:rFonts w:ascii="Arial" w:cs="Arial" w:eastAsia="Arial" w:hAnsi="Arial"/>
          <w:color w:val="1F1E1E"/>
          <w:sz w:val="22"/>
          <w:szCs w:val="22"/>
        </w:rPr>
        <w:t xml:space="preserve">Investigations into suspected coordination shall be proportionate to the evidence, shall not access content of personal communications without consent or legal process, and shall be subject to the same dual-reviewer due-process protections as other reports. Findings of coordination shall be documented in the audit trail and may result in account restriction or, in egregious cases, referral to law enforcement under the Texas Computer Crimes Act, Texas Penal Code Ch. 33.</w:t>
      </w:r>
    </w:p>
    <w:p>
      <w:pPr>
        <w:keepNext/>
        <w:spacing w:after="160" w:before="360"/>
      </w:pPr>
      <w:r>
        <w:rPr>
          <w:rFonts w:ascii="Arial" w:cs="Arial" w:eastAsia="Arial" w:hAnsi="Arial"/>
          <w:b/>
          <w:bCs/>
          <w:color w:val="561217"/>
          <w:sz w:val="26"/>
          <w:szCs w:val="26"/>
        </w:rPr>
        <w:t xml:space="preserve">6. Review &amp; Due Process</w:t>
      </w:r>
    </w:p>
    <w:p>
      <w:pPr>
        <w:keepNext/>
        <w:spacing w:after="120" w:before="240"/>
      </w:pPr>
      <w:r>
        <w:rPr>
          <w:rFonts w:ascii="Arial" w:cs="Arial" w:eastAsia="Arial" w:hAnsi="Arial"/>
          <w:b/>
          <w:bCs/>
          <w:color w:val="3B5937"/>
          <w:sz w:val="22"/>
          <w:szCs w:val="22"/>
        </w:rPr>
        <w:t xml:space="preserve">6.1 Moderation Review (48 Hours)</w:t>
      </w:r>
    </w:p>
    <w:p>
      <w:pPr>
        <w:spacing w:after="120" w:before="60" w:line="320"/>
        <w:jc w:val="both"/>
      </w:pPr>
      <w:r>
        <w:rPr>
          <w:rFonts w:ascii="Arial" w:cs="Arial" w:eastAsia="Arial" w:hAnsi="Arial"/>
          <w:color w:val="1F1E1E"/>
          <w:sz w:val="22"/>
          <w:szCs w:val="22"/>
        </w:rPr>
        <w:t xml:space="preserve">Upon receipt, each report is reviewed by a Holon Foundation moderator within 48 hours. The reviewer:</w:t>
      </w:r>
    </w:p>
    <w:p>
      <w:pPr>
        <w:pStyle w:val="ListParagraph"/>
        <w:numPr>
          <w:ilvl w:val="0"/>
          <w:numId w:val="2"/>
        </w:numPr>
        <w:spacing w:after="40" w:before="40" w:line="300"/>
      </w:pPr>
      <w:r>
        <w:rPr>
          <w:rFonts w:ascii="Arial" w:cs="Arial" w:eastAsia="Arial" w:hAnsi="Arial"/>
          <w:color w:val="1F1E1E"/>
          <w:sz w:val="22"/>
          <w:szCs w:val="22"/>
        </w:rPr>
        <w:t xml:space="preserve">Verifies that the report meets submission requirements (evidence, specificity, factual basis)</w:t>
      </w:r>
    </w:p>
    <w:p>
      <w:pPr>
        <w:pStyle w:val="ListParagraph"/>
        <w:numPr>
          <w:ilvl w:val="0"/>
          <w:numId w:val="2"/>
        </w:numPr>
        <w:spacing w:after="40" w:before="40" w:line="300"/>
      </w:pPr>
      <w:r>
        <w:rPr>
          <w:rFonts w:ascii="Arial" w:cs="Arial" w:eastAsia="Arial" w:hAnsi="Arial"/>
          <w:color w:val="1F1E1E"/>
          <w:sz w:val="22"/>
          <w:szCs w:val="22"/>
        </w:rPr>
        <w:t xml:space="preserve">Checks photo metadata (timestamp, location if available) against the reported date and garden location</w:t>
      </w:r>
    </w:p>
    <w:p>
      <w:pPr>
        <w:pStyle w:val="ListParagraph"/>
        <w:numPr>
          <w:ilvl w:val="0"/>
          <w:numId w:val="2"/>
        </w:numPr>
        <w:spacing w:after="40" w:before="40" w:line="300"/>
      </w:pPr>
      <w:r>
        <w:rPr>
          <w:rFonts w:ascii="Arial" w:cs="Arial" w:eastAsia="Arial" w:hAnsi="Arial"/>
          <w:color w:val="1F1E1E"/>
          <w:sz w:val="22"/>
          <w:szCs w:val="22"/>
        </w:rPr>
        <w:t xml:space="preserve">Reviews the reporter's history (accuracy ratio, previous reports on this garden)</w:t>
      </w:r>
    </w:p>
    <w:p>
      <w:pPr>
        <w:pStyle w:val="ListParagraph"/>
        <w:numPr>
          <w:ilvl w:val="0"/>
          <w:numId w:val="2"/>
        </w:numPr>
        <w:spacing w:after="40" w:before="40" w:line="300"/>
      </w:pPr>
      <w:r>
        <w:rPr>
          <w:rFonts w:ascii="Arial" w:cs="Arial" w:eastAsia="Arial" w:hAnsi="Arial"/>
          <w:color w:val="1F1E1E"/>
          <w:sz w:val="22"/>
          <w:szCs w:val="22"/>
        </w:rPr>
        <w:t xml:space="preserve">Assesses whether the report describes an actionable concern or a subjective opinion</w:t>
      </w:r>
    </w:p>
    <w:p>
      <w:pPr>
        <w:pStyle w:val="ListParagraph"/>
        <w:numPr>
          <w:ilvl w:val="0"/>
          <w:numId w:val="2"/>
        </w:numPr>
        <w:spacing w:after="40" w:before="40" w:line="300"/>
      </w:pPr>
      <w:r>
        <w:rPr>
          <w:rFonts w:ascii="Arial" w:cs="Arial" w:eastAsia="Arial" w:hAnsi="Arial"/>
          <w:color w:val="1F1E1E"/>
          <w:sz w:val="22"/>
          <w:szCs w:val="22"/>
        </w:rPr>
        <w:t xml:space="preserve">Determines the appropriate disposition: Dismiss, Monitor, or Notify Steward</w:t>
      </w:r>
    </w:p>
    <w:p>
      <w:pPr>
        <w:keepNext/>
        <w:spacing w:after="120" w:before="240"/>
      </w:pPr>
      <w:r>
        <w:rPr>
          <w:rFonts w:ascii="Arial" w:cs="Arial" w:eastAsia="Arial" w:hAnsi="Arial"/>
          <w:b/>
          <w:bCs/>
          <w:color w:val="3B5937"/>
          <w:sz w:val="22"/>
          <w:szCs w:val="22"/>
        </w:rPr>
        <w:t xml:space="preserve">6.2 Steward Notification &amp; Response Period</w:t>
      </w:r>
    </w:p>
    <w:p>
      <w:pPr>
        <w:spacing w:after="120" w:before="60" w:line="320"/>
        <w:jc w:val="both"/>
      </w:pPr>
      <w:r>
        <w:rPr>
          <w:rFonts w:ascii="Arial" w:cs="Arial" w:eastAsia="Arial" w:hAnsi="Arial"/>
          <w:color w:val="1F1E1E"/>
          <w:sz w:val="22"/>
          <w:szCs w:val="22"/>
        </w:rPr>
        <w:t xml:space="preserve">If the report is deemed actionable, the garden steward is notified through the Trust Portal with:</w:t>
      </w:r>
    </w:p>
    <w:p>
      <w:pPr>
        <w:pStyle w:val="ListParagraph"/>
        <w:numPr>
          <w:ilvl w:val="0"/>
          <w:numId w:val="2"/>
        </w:numPr>
        <w:spacing w:after="40" w:before="40" w:line="300"/>
      </w:pPr>
      <w:r>
        <w:rPr>
          <w:rFonts w:ascii="Arial" w:cs="Arial" w:eastAsia="Arial" w:hAnsi="Arial"/>
          <w:color w:val="1F1E1E"/>
          <w:sz w:val="22"/>
          <w:szCs w:val="22"/>
        </w:rPr>
        <w:t xml:space="preserve">The specific concern category and severity level</w:t>
      </w:r>
    </w:p>
    <w:p>
      <w:pPr>
        <w:pStyle w:val="ListParagraph"/>
        <w:numPr>
          <w:ilvl w:val="0"/>
          <w:numId w:val="2"/>
        </w:numPr>
        <w:spacing w:after="40" w:before="40" w:line="300"/>
      </w:pPr>
      <w:r>
        <w:rPr>
          <w:rFonts w:ascii="Arial" w:cs="Arial" w:eastAsia="Arial" w:hAnsi="Arial"/>
          <w:color w:val="1F1E1E"/>
          <w:sz w:val="22"/>
          <w:szCs w:val="22"/>
        </w:rPr>
        <w:t xml:space="preserve">A description of the observed issue (not the reporter's subjective commentary)</w:t>
      </w:r>
    </w:p>
    <w:p>
      <w:pPr>
        <w:pStyle w:val="ListParagraph"/>
        <w:numPr>
          <w:ilvl w:val="0"/>
          <w:numId w:val="2"/>
        </w:numPr>
        <w:spacing w:after="40" w:before="40" w:line="300"/>
      </w:pPr>
      <w:r>
        <w:rPr>
          <w:rFonts w:ascii="Arial" w:cs="Arial" w:eastAsia="Arial" w:hAnsi="Arial"/>
          <w:color w:val="1F1E1E"/>
          <w:sz w:val="22"/>
          <w:szCs w:val="22"/>
        </w:rPr>
        <w:t xml:space="preserve">Photographic evidence submitted by the reporter</w:t>
      </w:r>
    </w:p>
    <w:p>
      <w:pPr>
        <w:pStyle w:val="ListParagraph"/>
        <w:numPr>
          <w:ilvl w:val="0"/>
          <w:numId w:val="2"/>
        </w:numPr>
        <w:spacing w:after="40" w:before="40" w:line="300"/>
      </w:pPr>
      <w:r>
        <w:rPr>
          <w:rFonts w:ascii="Arial" w:cs="Arial" w:eastAsia="Arial" w:hAnsi="Arial"/>
          <w:color w:val="1F1E1E"/>
          <w:sz w:val="22"/>
          <w:szCs w:val="22"/>
        </w:rPr>
        <w:t xml:space="preserve">A clear deadline for response: minimum 7 calendar days</w:t>
      </w:r>
    </w:p>
    <w:p>
      <w:pPr>
        <w:pStyle w:val="ListParagraph"/>
        <w:numPr>
          <w:ilvl w:val="0"/>
          <w:numId w:val="2"/>
        </w:numPr>
        <w:spacing w:after="40" w:before="40" w:line="300"/>
      </w:pPr>
      <w:r>
        <w:rPr>
          <w:rFonts w:ascii="Arial" w:cs="Arial" w:eastAsia="Arial" w:hAnsi="Arial"/>
          <w:color w:val="1F1E1E"/>
          <w:sz w:val="22"/>
          <w:szCs w:val="22"/>
        </w:rPr>
        <w:t xml:space="preserve">Instructions for submitting a response, counter-evidence, or proof of correction</w:t>
      </w:r>
    </w:p>
    <w:p>
      <w:pPr>
        <w:spacing w:after="120" w:before="60" w:line="320"/>
        <w:jc w:val="both"/>
      </w:pPr>
      <w:r>
        <w:rPr>
          <w:rFonts w:ascii="Arial" w:cs="Arial" w:eastAsia="Arial" w:hAnsi="Arial"/>
          <w:color w:val="1F1E1E"/>
          <w:sz w:val="22"/>
          <w:szCs w:val="22"/>
        </w:rPr>
        <w:t xml:space="preserve">The steward may request a single extension of up to 7 additional days. During the response period, no trust score changes are applied and the garden's public status remains unchanged.</w:t>
      </w:r>
    </w:p>
    <w:p>
      <w:pPr>
        <w:keepNext/>
        <w:spacing w:after="120" w:before="240"/>
      </w:pPr>
      <w:r>
        <w:rPr>
          <w:rFonts w:ascii="Arial" w:cs="Arial" w:eastAsia="Arial" w:hAnsi="Arial"/>
          <w:b/>
          <w:bCs/>
          <w:color w:val="3B5937"/>
          <w:sz w:val="22"/>
          <w:szCs w:val="22"/>
        </w:rPr>
        <w:t xml:space="preserve">6.3 Decision Framework</w:t>
      </w:r>
    </w:p>
    <w:p>
      <w:pPr>
        <w:spacing w:after="120" w:before="60" w:line="320"/>
        <w:jc w:val="both"/>
      </w:pPr>
      <w:r>
        <w:rPr>
          <w:rFonts w:ascii="Arial" w:cs="Arial" w:eastAsia="Arial" w:hAnsi="Arial"/>
          <w:color w:val="1F1E1E"/>
          <w:sz w:val="22"/>
          <w:szCs w:val="22"/>
        </w:rPr>
        <w:t xml:space="preserve">After the response period, a second reviewer (different from the initial reviewer) evaluates the report and response together, applying the following decision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Decision</w:t>
            </w:r>
          </w:p>
        </w:tc>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Criteria</w:t>
            </w:r>
          </w:p>
        </w:tc>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Trust Impact</w:t>
            </w:r>
          </w:p>
        </w:tc>
        <w:tc>
          <w:tcPr>
            <w:tcW w:type="dxa" w:w="234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Status Change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Dismissed</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Report unsubstantiated, lacks evidence, or describes a non-issue</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None</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None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Resolved</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Steward has corrected the issue within the response period</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None</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None</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Monitoring</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Concern is valid but minor; garden placed on enhanced monitoring list</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None</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Added to watch list</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Minor Violation</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Valid concern, steward did not respond or correct within the deadline</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−5 points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Warning recorded</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Moderate Violation</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Significant concern with clear evidence and no steward corrective action</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−10 points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Under Review status</w:t>
            </w:r>
          </w:p>
        </w:tc>
      </w:tr>
      <w:tr>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Severe Violation</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Urgent safety, deliberate false claims, or repeat pattern of violations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−20 points</w:t>
            </w:r>
          </w:p>
        </w:tc>
        <w:tc>
          <w:tcPr>
            <w:tcW w:type="dxa" w:w="234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Probationary status</w:t>
            </w:r>
          </w:p>
        </w:tc>
      </w:tr>
    </w:tbl>
    <w:p>
      <w:pPr>
        <w:keepNext/>
        <w:spacing w:after="160" w:before="360"/>
      </w:pPr>
      <w:r>
        <w:rPr>
          <w:rFonts w:ascii="Arial" w:cs="Arial" w:eastAsia="Arial" w:hAnsi="Arial"/>
          <w:b/>
          <w:bCs/>
          <w:color w:val="561217"/>
          <w:sz w:val="26"/>
          <w:szCs w:val="26"/>
        </w:rPr>
        <w:t xml:space="preserve">7. Graduated Response System</w:t>
      </w:r>
    </w:p>
    <w:p>
      <w:pPr>
        <w:spacing w:after="120" w:before="60" w:line="320"/>
        <w:jc w:val="both"/>
      </w:pPr>
      <w:r>
        <w:rPr>
          <w:rFonts w:ascii="Arial" w:cs="Arial" w:eastAsia="Arial" w:hAnsi="Arial"/>
          <w:color w:val="1F1E1E"/>
          <w:sz w:val="22"/>
          <w:szCs w:val="22"/>
        </w:rPr>
        <w:t xml:space="preserve">Repeated validated concerns against the same garden trigger escalating responses within a rolling 12-month window:</w:t>
      </w:r>
    </w:p>
    <w:p>
      <w:pPr>
        <w:pStyle w:val="ListParagraph"/>
        <w:numPr>
          <w:ilvl w:val="0"/>
          <w:numId w:val="2"/>
        </w:numPr>
        <w:spacing w:after="40" w:before="40" w:line="300"/>
      </w:pPr>
      <w:r>
        <w:rPr>
          <w:rFonts w:ascii="Arial" w:cs="Arial" w:eastAsia="Arial" w:hAnsi="Arial"/>
          <w:b/>
          <w:bCs/>
          <w:color w:val="1F1E1E"/>
          <w:sz w:val="22"/>
          <w:szCs w:val="22"/>
        </w:rPr>
        <w:t xml:space="preserve">First validated report.</w:t>
      </w:r>
      <w:r>
        <w:rPr>
          <w:rFonts w:ascii="Arial" w:cs="Arial" w:eastAsia="Arial" w:hAnsi="Arial"/>
          <w:color w:val="1F1E1E"/>
          <w:sz w:val="22"/>
          <w:szCs w:val="22"/>
        </w:rPr>
        <w:t xml:space="preserve"> Written notice to steward with guidance for correction. 30-day correction window. Trust impact: −5 points.</w:t>
      </w:r>
    </w:p>
    <w:p>
      <w:pPr>
        <w:pStyle w:val="ListParagraph"/>
        <w:numPr>
          <w:ilvl w:val="0"/>
          <w:numId w:val="2"/>
        </w:numPr>
        <w:spacing w:after="40" w:before="40" w:line="300"/>
      </w:pPr>
      <w:r>
        <w:rPr>
          <w:rFonts w:ascii="Arial" w:cs="Arial" w:eastAsia="Arial" w:hAnsi="Arial"/>
          <w:b/>
          <w:bCs/>
          <w:color w:val="1F1E1E"/>
          <w:sz w:val="22"/>
          <w:szCs w:val="22"/>
        </w:rPr>
        <w:t xml:space="preserve">Second validated report (within 12 months).</w:t>
      </w:r>
      <w:r>
        <w:rPr>
          <w:rFonts w:ascii="Arial" w:cs="Arial" w:eastAsia="Arial" w:hAnsi="Arial"/>
          <w:color w:val="1F1E1E"/>
          <w:sz w:val="22"/>
          <w:szCs w:val="22"/>
        </w:rPr>
        <w:t xml:space="preserve"> Probationary status for 30–60 days. Enhanced monitoring with required photo updates. Trust impact: −10 additional points.</w:t>
      </w:r>
    </w:p>
    <w:p>
      <w:pPr>
        <w:pStyle w:val="ListParagraph"/>
        <w:numPr>
          <w:ilvl w:val="0"/>
          <w:numId w:val="2"/>
        </w:numPr>
        <w:spacing w:after="40" w:before="40" w:line="300"/>
      </w:pPr>
      <w:r>
        <w:rPr>
          <w:rFonts w:ascii="Arial" w:cs="Arial" w:eastAsia="Arial" w:hAnsi="Arial"/>
          <w:b/>
          <w:bCs/>
          <w:color w:val="1F1E1E"/>
          <w:sz w:val="22"/>
          <w:szCs w:val="22"/>
        </w:rPr>
        <w:t xml:space="preserve">Third validated report (within 12 months).</w:t>
      </w:r>
      <w:r>
        <w:rPr>
          <w:rFonts w:ascii="Arial" w:cs="Arial" w:eastAsia="Arial" w:hAnsi="Arial"/>
          <w:color w:val="1F1E1E"/>
          <w:sz w:val="22"/>
          <w:szCs w:val="22"/>
        </w:rPr>
        <w:t xml:space="preserve"> Garden verification status suspended. Steward must reapply for verification after demonstrating corrective action. Trust impact: −20 additional points.</w:t>
      </w:r>
    </w:p>
    <w:p>
      <w:pPr>
        <w:pStyle w:val="ListParagraph"/>
        <w:numPr>
          <w:ilvl w:val="0"/>
          <w:numId w:val="2"/>
        </w:numPr>
        <w:spacing w:after="40" w:before="40" w:line="300"/>
      </w:pPr>
      <w:r>
        <w:rPr>
          <w:rFonts w:ascii="Arial" w:cs="Arial" w:eastAsia="Arial" w:hAnsi="Arial"/>
          <w:b/>
          <w:bCs/>
          <w:color w:val="1F1E1E"/>
          <w:sz w:val="22"/>
          <w:szCs w:val="22"/>
        </w:rPr>
        <w:t xml:space="preserve">Egregious or safety-critical violations.</w:t>
      </w:r>
      <w:r>
        <w:rPr>
          <w:rFonts w:ascii="Arial" w:cs="Arial" w:eastAsia="Arial" w:hAnsi="Arial"/>
          <w:color w:val="1F1E1E"/>
          <w:sz w:val="22"/>
          <w:szCs w:val="22"/>
        </w:rPr>
        <w:t xml:space="preserve"> Immediate probationary status regardless of prior history. Board notification if trust score falls below 30.</w:t>
      </w:r>
    </w:p>
    <w:p>
      <w:pPr>
        <w:keepNext/>
        <w:spacing w:after="160" w:before="360"/>
      </w:pPr>
      <w:r>
        <w:rPr>
          <w:rFonts w:ascii="Arial" w:cs="Arial" w:eastAsia="Arial" w:hAnsi="Arial"/>
          <w:b/>
          <w:bCs/>
          <w:color w:val="561217"/>
          <w:sz w:val="26"/>
          <w:szCs w:val="26"/>
        </w:rPr>
        <w:t xml:space="preserve">8. Appeals Process</w:t>
      </w:r>
    </w:p>
    <w:p>
      <w:pPr>
        <w:spacing w:after="120" w:before="60" w:line="320"/>
        <w:jc w:val="both"/>
      </w:pPr>
      <w:r>
        <w:rPr>
          <w:rFonts w:ascii="Arial" w:cs="Arial" w:eastAsia="Arial" w:hAnsi="Arial"/>
          <w:color w:val="1F1E1E"/>
          <w:sz w:val="22"/>
          <w:szCs w:val="22"/>
        </w:rPr>
        <w:t xml:space="preserve">Garden stewards may appeal any adverse decision within 14 calendar days of notification. The appeal must include:</w:t>
      </w:r>
    </w:p>
    <w:p>
      <w:pPr>
        <w:pStyle w:val="ListParagraph"/>
        <w:numPr>
          <w:ilvl w:val="0"/>
          <w:numId w:val="2"/>
        </w:numPr>
        <w:spacing w:after="40" w:before="40" w:line="300"/>
      </w:pPr>
      <w:r>
        <w:rPr>
          <w:rFonts w:ascii="Arial" w:cs="Arial" w:eastAsia="Arial" w:hAnsi="Arial"/>
          <w:color w:val="1F1E1E"/>
          <w:sz w:val="22"/>
          <w:szCs w:val="22"/>
        </w:rPr>
        <w:t xml:space="preserve">A written statement explaining the basis for the appeal</w:t>
      </w:r>
    </w:p>
    <w:p>
      <w:pPr>
        <w:pStyle w:val="ListParagraph"/>
        <w:numPr>
          <w:ilvl w:val="0"/>
          <w:numId w:val="2"/>
        </w:numPr>
        <w:spacing w:after="40" w:before="40" w:line="300"/>
      </w:pPr>
      <w:r>
        <w:rPr>
          <w:rFonts w:ascii="Arial" w:cs="Arial" w:eastAsia="Arial" w:hAnsi="Arial"/>
          <w:color w:val="1F1E1E"/>
          <w:sz w:val="22"/>
          <w:szCs w:val="22"/>
        </w:rPr>
        <w:t xml:space="preserve">Any new evidence not previously considered (new photos, testimony, documentation)</w:t>
      </w:r>
    </w:p>
    <w:p>
      <w:pPr>
        <w:pStyle w:val="ListParagraph"/>
        <w:numPr>
          <w:ilvl w:val="0"/>
          <w:numId w:val="2"/>
        </w:numPr>
        <w:spacing w:after="40" w:before="40" w:line="300"/>
      </w:pPr>
      <w:r>
        <w:rPr>
          <w:rFonts w:ascii="Arial" w:cs="Arial" w:eastAsia="Arial" w:hAnsi="Arial"/>
          <w:color w:val="1F1E1E"/>
          <w:sz w:val="22"/>
          <w:szCs w:val="22"/>
        </w:rPr>
        <w:t xml:space="preserve">Identification of any procedural error in the original review</w:t>
      </w:r>
    </w:p>
    <w:p>
      <w:pPr>
        <w:pStyle w:val="ListParagraph"/>
        <w:numPr>
          <w:ilvl w:val="0"/>
          <w:numId w:val="2"/>
        </w:numPr>
        <w:spacing w:after="40" w:before="40" w:line="300"/>
      </w:pPr>
      <w:r>
        <w:rPr>
          <w:rFonts w:ascii="Arial" w:cs="Arial" w:eastAsia="Arial" w:hAnsi="Arial"/>
          <w:color w:val="1F1E1E"/>
          <w:sz w:val="22"/>
          <w:szCs w:val="22"/>
        </w:rPr>
        <w:t xml:space="preserve">Evidence that the issue has been corrected since the original decision</w:t>
      </w:r>
    </w:p>
    <w:p>
      <w:pPr>
        <w:spacing w:after="120" w:before="60" w:line="320"/>
        <w:jc w:val="both"/>
      </w:pPr>
      <w:r>
        <w:rPr>
          <w:rFonts w:ascii="Arial" w:cs="Arial" w:eastAsia="Arial" w:hAnsi="Arial"/>
          <w:color w:val="1F1E1E"/>
          <w:sz w:val="22"/>
          <w:szCs w:val="22"/>
        </w:rPr>
        <w:t xml:space="preserve">Appeal review is conducted by a person not involved in the original decision. The appellate reviewer has the authority to overturn, modify, or uphold the original decision. Appeals decisions are issued within 14 calendar days.</w:t>
      </w:r>
    </w:p>
    <w:p>
      <w:pPr>
        <w:spacing w:after="120" w:before="60" w:line="320"/>
        <w:jc w:val="both"/>
      </w:pPr>
      <w:r>
        <w:rPr>
          <w:rFonts w:ascii="Arial" w:cs="Arial" w:eastAsia="Arial" w:hAnsi="Arial"/>
          <w:color w:val="1F1E1E"/>
          <w:sz w:val="22"/>
          <w:szCs w:val="22"/>
        </w:rPr>
        <w:t xml:space="preserve">If an appeal is successful, any trust score impacts are reversed and the reporter's accuracy record is updated accordingly.</w:t>
      </w:r>
    </w:p>
    <w:p>
      <w:pPr>
        <w:keepNext/>
        <w:spacing w:after="120" w:before="240"/>
      </w:pPr>
      <w:r>
        <w:rPr>
          <w:rFonts w:ascii="Arial" w:cs="Arial" w:eastAsia="Arial" w:hAnsi="Arial"/>
          <w:b/>
          <w:bCs/>
          <w:color w:val="3B5937"/>
          <w:sz w:val="22"/>
          <w:szCs w:val="22"/>
        </w:rPr>
        <w:t xml:space="preserve">Second-Stage Escalation</w:t>
      </w:r>
    </w:p>
    <w:p>
      <w:pPr>
        <w:spacing w:after="120" w:before="60" w:line="320"/>
        <w:jc w:val="both"/>
      </w:pPr>
      <w:r>
        <w:rPr>
          <w:rFonts w:ascii="Arial" w:cs="Arial" w:eastAsia="Arial" w:hAnsi="Arial"/>
          <w:color w:val="1F1E1E"/>
          <w:sz w:val="22"/>
          <w:szCs w:val="22"/>
        </w:rPr>
        <w:t xml:space="preserve">For decisions resulting in suspension of verification status, removal from the Trust Portal, or trust-score reductions exceeding 20 points, the steward may request, within fourteen (14) days of the initial appellate decision, escalation to the Governance Committee. The Governance Committee shall review the matter on the record (no new evidence) and shall issue a final decision within thirty (30) days. The Governance Committee's decision is final as to administrative remedy; nothing in this Policy waives any party's legal remedies available under Texas law.</w:t>
      </w:r>
    </w:p>
    <w:p>
      <w:pPr>
        <w:keepNext/>
        <w:spacing w:after="160" w:before="360"/>
      </w:pPr>
      <w:r>
        <w:rPr>
          <w:rFonts w:ascii="Arial" w:cs="Arial" w:eastAsia="Arial" w:hAnsi="Arial"/>
          <w:b/>
          <w:bCs/>
          <w:color w:val="561217"/>
          <w:sz w:val="26"/>
          <w:szCs w:val="26"/>
        </w:rPr>
        <w:t xml:space="preserve">9. Reporter Accountability &amp; Anti-Abuse Measures</w:t>
      </w:r>
    </w:p>
    <w:p>
      <w:pPr>
        <w:spacing w:after="120" w:before="60" w:line="320"/>
        <w:jc w:val="both"/>
      </w:pPr>
      <w:r>
        <w:rPr>
          <w:rFonts w:ascii="Arial" w:cs="Arial" w:eastAsia="Arial" w:hAnsi="Arial"/>
          <w:color w:val="1F1E1E"/>
          <w:sz w:val="22"/>
          <w:szCs w:val="22"/>
        </w:rPr>
        <w:t xml:space="preserve">To prevent weaponization of the reporting system, the Foundation tracks reporter behavior and enforces graduated consequences: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Reporter Behavior</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Indicator</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Consequence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Low Accuracy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Less than 50% of reports validated over 5+ submissions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Reports flagged for priority review; reporter warned</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Persistent Inaccuracy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Less than 30% accuracy over 5+ reports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60-day requirement for supervisor approval on all reports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Malicious Reporting</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Reports submitted with intent to harm, fabricated evidence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Immediate reporting privileges suspended; account review</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Coordinated Attacks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Evidence of brigading or coordinated multi-account targeting</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All participating accounts restricted; reports dismissed</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Retaliatory Reporting</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Reports submitted in response to verification decisions or personal disputes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Reports dismissed; reporter warned or restricted</w:t>
            </w:r>
          </w:p>
        </w:tc>
      </w:tr>
    </w:tbl>
    <w:p>
      <w:pPr>
        <w:keepNext/>
        <w:spacing w:after="160" w:before="360"/>
      </w:pPr>
      <w:r>
        <w:rPr>
          <w:rFonts w:ascii="Arial" w:cs="Arial" w:eastAsia="Arial" w:hAnsi="Arial"/>
          <w:b/>
          <w:bCs/>
          <w:color w:val="561217"/>
          <w:sz w:val="26"/>
          <w:szCs w:val="26"/>
        </w:rPr>
        <w:t xml:space="preserve">10. Trust Score Integration</w:t>
      </w:r>
    </w:p>
    <w:p>
      <w:pPr>
        <w:spacing w:after="120" w:before="60" w:line="320"/>
        <w:jc w:val="both"/>
      </w:pPr>
      <w:r>
        <w:rPr>
          <w:rFonts w:ascii="Arial" w:cs="Arial" w:eastAsia="Arial" w:hAnsi="Arial"/>
          <w:color w:val="1F1E1E"/>
          <w:sz w:val="22"/>
          <w:szCs w:val="22"/>
        </w:rPr>
        <w:t xml:space="preserve">The garden trust score is a composite metric (0–100) that reflects the verified health, accuracy, and stewardship quality of a conservation garden. Trust scores are affected by:</w:t>
      </w:r>
    </w:p>
    <w:p>
      <w:pPr>
        <w:pStyle w:val="ListParagraph"/>
        <w:numPr>
          <w:ilvl w:val="0"/>
          <w:numId w:val="2"/>
        </w:numPr>
        <w:spacing w:after="40" w:before="40" w:line="300"/>
      </w:pPr>
      <w:r>
        <w:rPr>
          <w:rFonts w:ascii="Arial" w:cs="Arial" w:eastAsia="Arial" w:hAnsi="Arial"/>
          <w:b/>
          <w:bCs/>
          <w:color w:val="1F1E1E"/>
          <w:sz w:val="22"/>
          <w:szCs w:val="22"/>
        </w:rPr>
        <w:t xml:space="preserve">Positive factors.</w:t>
      </w:r>
      <w:r>
        <w:rPr>
          <w:rFonts w:ascii="Arial" w:cs="Arial" w:eastAsia="Arial" w:hAnsi="Arial"/>
          <w:color w:val="1F1E1E"/>
          <w:sz w:val="22"/>
          <w:szCs w:val="22"/>
        </w:rPr>
        <w:t xml:space="preserve"> Passing annual reviews, providing documentation, responding promptly to feedback, completing peer verifications.</w:t>
      </w:r>
    </w:p>
    <w:p>
      <w:pPr>
        <w:pStyle w:val="ListParagraph"/>
        <w:numPr>
          <w:ilvl w:val="0"/>
          <w:numId w:val="2"/>
        </w:numPr>
        <w:spacing w:after="40" w:before="40" w:line="300"/>
      </w:pPr>
      <w:r>
        <w:rPr>
          <w:rFonts w:ascii="Arial" w:cs="Arial" w:eastAsia="Arial" w:hAnsi="Arial"/>
          <w:b/>
          <w:bCs/>
          <w:color w:val="1F1E1E"/>
          <w:sz w:val="22"/>
          <w:szCs w:val="22"/>
        </w:rPr>
        <w:t xml:space="preserve">Negative factors (this policy).</w:t>
      </w:r>
      <w:r>
        <w:rPr>
          <w:rFonts w:ascii="Arial" w:cs="Arial" w:eastAsia="Arial" w:hAnsi="Arial"/>
          <w:color w:val="1F1E1E"/>
          <w:sz w:val="22"/>
          <w:szCs w:val="22"/>
        </w:rPr>
        <w:t xml:space="preserve"> Validated concern reports resulting in Minor (−5), Moderate (−10), or Severe (−20) point adjustments.</w:t>
      </w:r>
    </w:p>
    <w:p>
      <w:pPr>
        <w:pStyle w:val="ListParagraph"/>
        <w:numPr>
          <w:ilvl w:val="0"/>
          <w:numId w:val="2"/>
        </w:numPr>
        <w:spacing w:after="40" w:before="40" w:line="300"/>
      </w:pPr>
      <w:r>
        <w:rPr>
          <w:rFonts w:ascii="Arial" w:cs="Arial" w:eastAsia="Arial" w:hAnsi="Arial"/>
          <w:b/>
          <w:bCs/>
          <w:color w:val="1F1E1E"/>
          <w:sz w:val="22"/>
          <w:szCs w:val="22"/>
        </w:rPr>
        <w:t xml:space="preserve">Recovery.</w:t>
      </w:r>
      <w:r>
        <w:rPr>
          <w:rFonts w:ascii="Arial" w:cs="Arial" w:eastAsia="Arial" w:hAnsi="Arial"/>
          <w:color w:val="1F1E1E"/>
          <w:sz w:val="22"/>
          <w:szCs w:val="22"/>
        </w:rPr>
        <w:t xml:space="preserve"> Trust scores can recover over time through positive actions. A garden that corrects issues and passes subsequent reviews will see its score improve.</w:t>
      </w:r>
    </w:p>
    <w:p>
      <w:pPr>
        <w:spacing w:after="120" w:before="60" w:line="320"/>
        <w:jc w:val="both"/>
      </w:pPr>
      <w:r>
        <w:rPr>
          <w:rFonts w:ascii="Arial" w:cs="Arial" w:eastAsia="Arial" w:hAnsi="Arial"/>
          <w:b/>
          <w:bCs/>
          <w:color w:val="1F1E1E"/>
          <w:sz w:val="22"/>
          <w:szCs w:val="22"/>
        </w:rPr>
        <w:t xml:space="preserve">Score Thresholds:</w:t>
      </w:r>
    </w:p>
    <w:p>
      <w:pPr>
        <w:pStyle w:val="ListParagraph"/>
        <w:numPr>
          <w:ilvl w:val="0"/>
          <w:numId w:val="2"/>
        </w:numPr>
        <w:spacing w:after="40" w:before="40" w:line="300"/>
      </w:pPr>
      <w:r>
        <w:rPr>
          <w:rFonts w:ascii="Arial" w:cs="Arial" w:eastAsia="Arial" w:hAnsi="Arial"/>
          <w:color w:val="1F1E1E"/>
          <w:sz w:val="22"/>
          <w:szCs w:val="22"/>
        </w:rPr>
        <w:t xml:space="preserve">90–100 (Green): Trusted status; minimal monitoring</w:t>
      </w:r>
    </w:p>
    <w:p>
      <w:pPr>
        <w:pStyle w:val="ListParagraph"/>
        <w:numPr>
          <w:ilvl w:val="0"/>
          <w:numId w:val="2"/>
        </w:numPr>
        <w:spacing w:after="40" w:before="40" w:line="300"/>
      </w:pPr>
      <w:r>
        <w:rPr>
          <w:rFonts w:ascii="Arial" w:cs="Arial" w:eastAsia="Arial" w:hAnsi="Arial"/>
          <w:color w:val="1F1E1E"/>
          <w:sz w:val="22"/>
          <w:szCs w:val="22"/>
        </w:rPr>
        <w:t xml:space="preserve">70–89 (Standard): Normal monitoring; full community privileges</w:t>
      </w:r>
    </w:p>
    <w:p>
      <w:pPr>
        <w:pStyle w:val="ListParagraph"/>
        <w:numPr>
          <w:ilvl w:val="0"/>
          <w:numId w:val="2"/>
        </w:numPr>
        <w:spacing w:after="40" w:before="40" w:line="300"/>
      </w:pPr>
      <w:r>
        <w:rPr>
          <w:rFonts w:ascii="Arial" w:cs="Arial" w:eastAsia="Arial" w:hAnsi="Arial"/>
          <w:color w:val="1F1E1E"/>
          <w:sz w:val="22"/>
          <w:szCs w:val="22"/>
        </w:rPr>
        <w:t xml:space="preserve">50–69 (Watch): Enhanced monitoring; may have restricted verification weight</w:t>
      </w:r>
    </w:p>
    <w:p>
      <w:pPr>
        <w:pStyle w:val="ListParagraph"/>
        <w:numPr>
          <w:ilvl w:val="0"/>
          <w:numId w:val="2"/>
        </w:numPr>
        <w:spacing w:after="40" w:before="40" w:line="300"/>
      </w:pPr>
      <w:r>
        <w:rPr>
          <w:rFonts w:ascii="Arial" w:cs="Arial" w:eastAsia="Arial" w:hAnsi="Arial"/>
          <w:color w:val="1F1E1E"/>
          <w:sz w:val="22"/>
          <w:szCs w:val="22"/>
        </w:rPr>
        <w:t xml:space="preserve">Below 50 (Probationary): Verification status suspended; active review required</w:t>
      </w:r>
    </w:p>
    <w:p>
      <w:pPr>
        <w:spacing w:after="120" w:before="60" w:line="320"/>
        <w:jc w:val="both"/>
      </w:pPr>
      <w:r>
        <w:rPr>
          <w:rFonts w:ascii="Arial" w:cs="Arial" w:eastAsia="Arial" w:hAnsi="Arial"/>
          <w:b/>
          <w:bCs/>
          <w:color w:val="1F1E1E"/>
          <w:sz w:val="22"/>
          <w:szCs w:val="22"/>
        </w:rPr>
        <w:t xml:space="preserve">Important:</w:t>
      </w:r>
      <w:r>
        <w:rPr>
          <w:rFonts w:ascii="Arial" w:cs="Arial" w:eastAsia="Arial" w:hAnsi="Arial"/>
          <w:color w:val="1F1E1E"/>
          <w:sz w:val="22"/>
          <w:szCs w:val="22"/>
        </w:rPr>
        <w:t xml:space="preserve"> Trust scores are internal operational metrics used for moderation prioritization and community health monitoring. They are not public rankings and are not used as punitive scores against individuals. The goal is to nurture healthy gardens, not to penalize stewards.</w:t>
      </w:r>
    </w:p>
    <w:p>
      <w:pPr>
        <w:keepNext/>
        <w:spacing w:after="120" w:before="240"/>
      </w:pPr>
      <w:r>
        <w:rPr>
          <w:rFonts w:ascii="Arial" w:cs="Arial" w:eastAsia="Arial" w:hAnsi="Arial"/>
          <w:b/>
          <w:bCs/>
          <w:color w:val="3B5937"/>
          <w:sz w:val="22"/>
          <w:szCs w:val="22"/>
        </w:rPr>
        <w:t xml:space="preserve">Algorithmic Components and AI Ethics</w:t>
      </w:r>
    </w:p>
    <w:p>
      <w:pPr>
        <w:spacing w:after="120" w:before="60" w:line="320"/>
        <w:jc w:val="both"/>
      </w:pPr>
      <w:r>
        <w:rPr>
          <w:rFonts w:ascii="Arial" w:cs="Arial" w:eastAsia="Arial" w:hAnsi="Arial"/>
          <w:color w:val="1F1E1E"/>
          <w:sz w:val="22"/>
          <w:szCs w:val="22"/>
        </w:rPr>
        <w:t xml:space="preserve">To the extent the trust-score system or anti-abuse logic uses automated or algorithmic decision-making (including, without limitation, scoring of reporter accuracy, brigading detection, and severity classification), it is subject to Holon Foundation Policy No. 17 (AI and Technology Ethics Policy), including:</w:t>
      </w:r>
    </w:p>
    <w:p>
      <w:pPr>
        <w:spacing w:after="120" w:before="60" w:line="320"/>
        <w:jc w:val="both"/>
      </w:pPr>
      <w:r>
        <w:rPr>
          <w:rFonts w:ascii="Arial" w:cs="Arial" w:eastAsia="Arial" w:hAnsi="Arial"/>
          <w:color w:val="1F1E1E"/>
          <w:sz w:val="22"/>
          <w:szCs w:val="22"/>
        </w:rPr>
        <w:t xml:space="preserve">(a) the AI Impact Assessment requirement for any consequential-decision system; (b) the human-review requirement before any trust-score reduction takes effect; (c) the right of affected stewards to a plain-language explanation of any algorithmic component contributing to a decision; (d) annual fairness audit across protected classes.</w:t>
      </w:r>
    </w:p>
    <w:p>
      <w:pPr>
        <w:spacing w:after="120" w:before="60" w:line="320"/>
        <w:jc w:val="both"/>
      </w:pPr>
      <w:r>
        <w:rPr>
          <w:rFonts w:ascii="Arial" w:cs="Arial" w:eastAsia="Arial" w:hAnsi="Arial"/>
          <w:color w:val="1F1E1E"/>
          <w:sz w:val="22"/>
          <w:szCs w:val="22"/>
        </w:rPr>
        <w:t xml:space="preserve">The current trust-score methodology shall be documented in a Trust Algorithm Specification published at holonfoundation.org/methodology/trust-score, with material changes posted to the changelog at least 30 days before taking effect.</w:t>
      </w:r>
    </w:p>
    <w:p>
      <w:pPr>
        <w:keepNext/>
        <w:spacing w:after="160" w:before="360"/>
      </w:pPr>
      <w:r>
        <w:rPr>
          <w:rFonts w:ascii="Arial" w:cs="Arial" w:eastAsia="Arial" w:hAnsi="Arial"/>
          <w:b/>
          <w:bCs/>
          <w:color w:val="561217"/>
          <w:sz w:val="26"/>
          <w:szCs w:val="26"/>
        </w:rPr>
        <w:t xml:space="preserve">11. Data Protection &amp; Record Retention</w:t>
      </w:r>
    </w:p>
    <w:p>
      <w:pPr>
        <w:spacing w:after="120" w:before="60" w:line="320"/>
        <w:jc w:val="both"/>
      </w:pPr>
      <w:r>
        <w:rPr>
          <w:rFonts w:ascii="Arial" w:cs="Arial" w:eastAsia="Arial" w:hAnsi="Arial"/>
          <w:color w:val="1F1E1E"/>
          <w:sz w:val="22"/>
          <w:szCs w:val="22"/>
        </w:rPr>
        <w:t xml:space="preserve">Garden concern reports and their associated evidence are maintained in accordance with our Data Privacy &amp; Security Policy (Policy No. 15) and Document Retention &amp; Destruction Policy (Policy No. 06):</w:t>
      </w:r>
    </w:p>
    <w:p>
      <w:pPr>
        <w:pStyle w:val="ListParagraph"/>
        <w:numPr>
          <w:ilvl w:val="0"/>
          <w:numId w:val="2"/>
        </w:numPr>
        <w:spacing w:after="40" w:before="40" w:line="300"/>
      </w:pPr>
      <w:r>
        <w:rPr>
          <w:rFonts w:ascii="Arial" w:cs="Arial" w:eastAsia="Arial" w:hAnsi="Arial"/>
          <w:color w:val="1F1E1E"/>
          <w:sz w:val="22"/>
          <w:szCs w:val="22"/>
        </w:rPr>
        <w:t xml:space="preserve">Report records are retained for 3 years after resolution, then destroyed.</w:t>
      </w:r>
    </w:p>
    <w:p>
      <w:pPr>
        <w:pStyle w:val="ListParagraph"/>
        <w:numPr>
          <w:ilvl w:val="0"/>
          <w:numId w:val="2"/>
        </w:numPr>
        <w:spacing w:after="40" w:before="40" w:line="300"/>
      </w:pPr>
      <w:r>
        <w:rPr>
          <w:rFonts w:ascii="Arial" w:cs="Arial" w:eastAsia="Arial" w:hAnsi="Arial"/>
          <w:color w:val="1F1E1E"/>
          <w:sz w:val="22"/>
          <w:szCs w:val="22"/>
        </w:rPr>
        <w:t xml:space="preserve">Photo evidence is stored securely and accessible only to moderators and the affected steward.</w:t>
      </w:r>
    </w:p>
    <w:p>
      <w:pPr>
        <w:pStyle w:val="ListParagraph"/>
        <w:numPr>
          <w:ilvl w:val="0"/>
          <w:numId w:val="2"/>
        </w:numPr>
        <w:spacing w:after="40" w:before="40" w:line="300"/>
      </w:pPr>
      <w:r>
        <w:rPr>
          <w:rFonts w:ascii="Arial" w:cs="Arial" w:eastAsia="Arial" w:hAnsi="Arial"/>
          <w:color w:val="1F1E1E"/>
          <w:sz w:val="22"/>
          <w:szCs w:val="22"/>
        </w:rPr>
        <w:t xml:space="preserve">Reporter identity is accessible only to Foundation administrators with moderator privileges.</w:t>
      </w:r>
    </w:p>
    <w:p>
      <w:pPr>
        <w:pStyle w:val="ListParagraph"/>
        <w:numPr>
          <w:ilvl w:val="0"/>
          <w:numId w:val="2"/>
        </w:numPr>
        <w:spacing w:after="40" w:before="40" w:line="300"/>
      </w:pPr>
      <w:r>
        <w:rPr>
          <w:rFonts w:ascii="Arial" w:cs="Arial" w:eastAsia="Arial" w:hAnsi="Arial"/>
          <w:color w:val="1F1E1E"/>
          <w:sz w:val="22"/>
          <w:szCs w:val="22"/>
        </w:rPr>
        <w:t xml:space="preserve">All moderation decisions include a timestamped audit trail with reviewer identity and reasoning.</w:t>
      </w:r>
    </w:p>
    <w:p>
      <w:pPr>
        <w:pStyle w:val="ListParagraph"/>
        <w:numPr>
          <w:ilvl w:val="0"/>
          <w:numId w:val="2"/>
        </w:numPr>
        <w:spacing w:after="40" w:before="40" w:line="300"/>
      </w:pPr>
      <w:r>
        <w:rPr>
          <w:rFonts w:ascii="Arial" w:cs="Arial" w:eastAsia="Arial" w:hAnsi="Arial"/>
          <w:color w:val="1F1E1E"/>
          <w:sz w:val="22"/>
          <w:szCs w:val="22"/>
        </w:rPr>
        <w:t xml:space="preserve">Steward responses are attached to the report record and considered in any future reviews.</w:t>
      </w:r>
    </w:p>
    <w:p>
      <w:pPr>
        <w:pStyle w:val="ListParagraph"/>
        <w:numPr>
          <w:ilvl w:val="0"/>
          <w:numId w:val="2"/>
        </w:numPr>
        <w:spacing w:after="40" w:before="40" w:line="300"/>
      </w:pPr>
      <w:r>
        <w:rPr>
          <w:rFonts w:ascii="Arial" w:cs="Arial" w:eastAsia="Arial" w:hAnsi="Arial"/>
          <w:color w:val="1F1E1E"/>
          <w:sz w:val="22"/>
          <w:szCs w:val="22"/>
        </w:rPr>
        <w:t xml:space="preserve">Individuals may request access to reports filed about their garden by contacting info@holonfoundation.org.</w:t>
      </w:r>
    </w:p>
    <w:p>
      <w:pPr>
        <w:keepNext/>
        <w:spacing w:after="160" w:before="360"/>
      </w:pPr>
      <w:r>
        <w:rPr>
          <w:rFonts w:ascii="Arial" w:cs="Arial" w:eastAsia="Arial" w:hAnsi="Arial"/>
          <w:b/>
          <w:bCs/>
          <w:color w:val="561217"/>
          <w:sz w:val="26"/>
          <w:szCs w:val="26"/>
        </w:rPr>
        <w:t xml:space="preserve">12. Policy Review &amp; Amendments</w:t>
      </w:r>
    </w:p>
    <w:p>
      <w:pPr>
        <w:spacing w:after="120" w:before="60" w:line="320"/>
        <w:jc w:val="both"/>
      </w:pPr>
      <w:r>
        <w:rPr>
          <w:rFonts w:ascii="Arial" w:cs="Arial" w:eastAsia="Arial" w:hAnsi="Arial"/>
          <w:color w:val="1F1E1E"/>
          <w:sz w:val="22"/>
          <w:szCs w:val="22"/>
        </w:rPr>
        <w:t xml:space="preserve">This policy is reviewed annually by the Governance Committee and updated as needed based on:</w:t>
      </w:r>
    </w:p>
    <w:p>
      <w:pPr>
        <w:pStyle w:val="ListParagraph"/>
        <w:numPr>
          <w:ilvl w:val="0"/>
          <w:numId w:val="2"/>
        </w:numPr>
        <w:spacing w:after="40" w:before="40" w:line="300"/>
      </w:pPr>
      <w:r>
        <w:rPr>
          <w:rFonts w:ascii="Arial" w:cs="Arial" w:eastAsia="Arial" w:hAnsi="Arial"/>
          <w:color w:val="1F1E1E"/>
          <w:sz w:val="22"/>
          <w:szCs w:val="22"/>
        </w:rPr>
        <w:t xml:space="preserve">Community feedback and reported concerns about the process</w:t>
      </w:r>
    </w:p>
    <w:p>
      <w:pPr>
        <w:pStyle w:val="ListParagraph"/>
        <w:numPr>
          <w:ilvl w:val="0"/>
          <w:numId w:val="2"/>
        </w:numPr>
        <w:spacing w:after="40" w:before="40" w:line="300"/>
      </w:pPr>
      <w:r>
        <w:rPr>
          <w:rFonts w:ascii="Arial" w:cs="Arial" w:eastAsia="Arial" w:hAnsi="Arial"/>
          <w:color w:val="1F1E1E"/>
          <w:sz w:val="22"/>
          <w:szCs w:val="22"/>
        </w:rPr>
        <w:t xml:space="preserve">Analysis of enforcement consistency and outcome patterns</w:t>
      </w:r>
    </w:p>
    <w:p>
      <w:pPr>
        <w:pStyle w:val="ListParagraph"/>
        <w:numPr>
          <w:ilvl w:val="0"/>
          <w:numId w:val="2"/>
        </w:numPr>
        <w:spacing w:after="40" w:before="40" w:line="300"/>
      </w:pPr>
      <w:r>
        <w:rPr>
          <w:rFonts w:ascii="Arial" w:cs="Arial" w:eastAsia="Arial" w:hAnsi="Arial"/>
          <w:color w:val="1F1E1E"/>
          <w:sz w:val="22"/>
          <w:szCs w:val="22"/>
        </w:rPr>
        <w:t xml:space="preserve">Changes in applicable law or nonprofit best practices</w:t>
      </w:r>
    </w:p>
    <w:p>
      <w:pPr>
        <w:pStyle w:val="ListParagraph"/>
        <w:numPr>
          <w:ilvl w:val="0"/>
          <w:numId w:val="2"/>
        </w:numPr>
        <w:spacing w:after="40" w:before="40" w:line="300"/>
      </w:pPr>
      <w:r>
        <w:rPr>
          <w:rFonts w:ascii="Arial" w:cs="Arial" w:eastAsia="Arial" w:hAnsi="Arial"/>
          <w:color w:val="1F1E1E"/>
          <w:sz w:val="22"/>
          <w:szCs w:val="22"/>
        </w:rPr>
        <w:t xml:space="preserve">Recommendations from the Board of Directors or external auditors</w:t>
      </w:r>
    </w:p>
    <w:p>
      <w:pPr>
        <w:spacing w:after="120" w:before="60" w:line="320"/>
        <w:jc w:val="both"/>
      </w:pPr>
      <w:r>
        <w:rPr>
          <w:rFonts w:ascii="Arial" w:cs="Arial" w:eastAsia="Arial" w:hAnsi="Arial"/>
          <w:color w:val="1F1E1E"/>
          <w:sz w:val="22"/>
          <w:szCs w:val="22"/>
        </w:rPr>
        <w:t xml:space="preserve">Amendments to this policy require approval by the Board of Directors. Material changes affecting community members' rights or obligations will be communicated through the Trust Portal with at least 30 days' notice before taking effect.</w:t>
      </w:r>
    </w:p>
    <w:p>
      <w:pPr>
        <w:keepNext/>
        <w:spacing w:after="160" w:before="360"/>
      </w:pPr>
      <w:r>
        <w:rPr>
          <w:rFonts w:ascii="Arial" w:cs="Arial" w:eastAsia="Arial" w:hAnsi="Arial"/>
          <w:b/>
          <w:bCs/>
          <w:color w:val="561217"/>
          <w:sz w:val="26"/>
          <w:szCs w:val="26"/>
        </w:rPr>
        <w:t xml:space="preserve">13. Contact &amp; Support</w:t>
      </w:r>
    </w:p>
    <w:p>
      <w:pPr>
        <w:spacing w:after="120" w:before="60" w:line="320"/>
        <w:jc w:val="both"/>
      </w:pPr>
      <w:r>
        <w:rPr>
          <w:rFonts w:ascii="Arial" w:cs="Arial" w:eastAsia="Arial" w:hAnsi="Arial"/>
          <w:color w:val="1F1E1E"/>
          <w:sz w:val="22"/>
          <w:szCs w:val="22"/>
        </w:rPr>
        <w:t xml:space="preserve">For questions about this policy, the reporting process, or to submit a concern outside the Trust Portal:</w:t>
      </w:r>
    </w:p>
    <w:p>
      <w:pPr>
        <w:pStyle w:val="ListParagraph"/>
        <w:numPr>
          <w:ilvl w:val="0"/>
          <w:numId w:val="2"/>
        </w:numPr>
        <w:spacing w:after="40" w:before="40" w:line="300"/>
      </w:pPr>
      <w:r>
        <w:rPr>
          <w:rFonts w:ascii="Arial" w:cs="Arial" w:eastAsia="Arial" w:hAnsi="Arial"/>
          <w:b/>
          <w:bCs/>
          <w:color w:val="1F1E1E"/>
          <w:sz w:val="22"/>
          <w:szCs w:val="22"/>
        </w:rPr>
        <w:t xml:space="preserve">Email:</w:t>
      </w:r>
      <w:r>
        <w:rPr>
          <w:rFonts w:ascii="Arial" w:cs="Arial" w:eastAsia="Arial" w:hAnsi="Arial"/>
          <w:color w:val="1F1E1E"/>
          <w:sz w:val="22"/>
          <w:szCs w:val="22"/>
        </w:rPr>
        <w:t xml:space="preserve"> info@holonfoundation.org</w:t>
      </w:r>
    </w:p>
    <w:p>
      <w:pPr>
        <w:pStyle w:val="ListParagraph"/>
        <w:numPr>
          <w:ilvl w:val="0"/>
          <w:numId w:val="2"/>
        </w:numPr>
        <w:spacing w:after="40" w:before="40" w:line="300"/>
      </w:pPr>
      <w:r>
        <w:rPr>
          <w:rFonts w:ascii="Arial" w:cs="Arial" w:eastAsia="Arial" w:hAnsi="Arial"/>
          <w:b/>
          <w:bCs/>
          <w:color w:val="1F1E1E"/>
          <w:sz w:val="22"/>
          <w:szCs w:val="22"/>
        </w:rPr>
        <w:t xml:space="preserve">Website:</w:t>
      </w:r>
      <w:r>
        <w:rPr>
          <w:rFonts w:ascii="Arial" w:cs="Arial" w:eastAsia="Arial" w:hAnsi="Arial"/>
          <w:color w:val="1F1E1E"/>
          <w:sz w:val="22"/>
          <w:szCs w:val="22"/>
        </w:rPr>
        <w:t xml:space="preserve"> holonfoundation.org (Contact form)</w:t>
      </w:r>
    </w:p>
    <w:p>
      <w:pPr>
        <w:pStyle w:val="ListParagraph"/>
        <w:numPr>
          <w:ilvl w:val="0"/>
          <w:numId w:val="2"/>
        </w:numPr>
        <w:spacing w:after="40" w:before="40" w:line="300"/>
      </w:pPr>
      <w:r>
        <w:rPr>
          <w:rFonts w:ascii="Arial" w:cs="Arial" w:eastAsia="Arial" w:hAnsi="Arial"/>
          <w:b/>
          <w:bCs/>
          <w:color w:val="1F1E1E"/>
          <w:sz w:val="22"/>
          <w:szCs w:val="22"/>
        </w:rPr>
        <w:t xml:space="preserve">Trust Portal:</w:t>
      </w:r>
      <w:r>
        <w:rPr>
          <w:rFonts w:ascii="Arial" w:cs="Arial" w:eastAsia="Arial" w:hAnsi="Arial"/>
          <w:color w:val="1F1E1E"/>
          <w:sz w:val="22"/>
          <w:szCs w:val="22"/>
        </w:rPr>
        <w:t xml:space="preserve"> Report a Concern feature within the Verification module</w:t>
      </w:r>
    </w:p>
    <w:p>
      <w:pPr>
        <w:spacing w:after="120" w:before="60" w:line="320"/>
        <w:jc w:val="both"/>
      </w:pPr>
      <w:r>
        <w:rPr>
          <w:rFonts w:ascii="Arial" w:cs="Arial" w:eastAsia="Arial" w:hAnsi="Arial"/>
          <w:color w:val="1F1E1E"/>
          <w:sz w:val="22"/>
          <w:szCs w:val="22"/>
        </w:rPr>
        <w:t xml:space="preserve">This policy reflects Holon Foundation's commitment to engineering trust as a living system — one that is continuously cultivated, transparently governed, and resilient against both neglect and manipulation. We believe that a community's ability to self-correct is as vital as its ability to grow.</w:t>
      </w:r>
    </w:p>
    <w:p>
      <w:pPr>
        <w:keepNext/>
        <w:spacing w:after="160" w:before="360"/>
      </w:pPr>
      <w:r>
        <w:rPr>
          <w:rFonts w:ascii="Arial" w:cs="Arial" w:eastAsia="Arial" w:hAnsi="Arial"/>
          <w:b/>
          <w:bCs/>
          <w:color w:val="561217"/>
          <w:sz w:val="26"/>
          <w:szCs w:val="26"/>
        </w:rPr>
        <w:t xml:space="preserve">Board Approval 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Role</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Signature</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Date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Chair of the Board</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Secretary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Governance Committee Chair</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21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21  ·  GARDEN REPORTING &amp; TRUST INTEGRITY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Reporting &amp; Trust Integrity Policy</dc:title>
  <dc:creator>Holon Foundation</dc:creator>
  <dc:description>Holon Foundation — Policy No. 21</dc:description>
  <cp:lastModifiedBy>Un-named</cp:lastModifiedBy>
  <cp:revision>1</cp:revision>
  <dcterms:created xsi:type="dcterms:W3CDTF">2026-05-21T02:41:42.488Z</dcterms:created>
  <dcterms:modified xsi:type="dcterms:W3CDTF">2026-05-21T02:41:42.488Z</dcterms:modified>
</cp:coreProperties>
</file>

<file path=docProps/custom.xml><?xml version="1.0" encoding="utf-8"?>
<Properties xmlns="http://schemas.openxmlformats.org/officeDocument/2006/custom-properties" xmlns:vt="http://schemas.openxmlformats.org/officeDocument/2006/docPropsVTypes"/>
</file>