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20</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Volunteer Management Policy</w:t>
      </w:r>
    </w:p>
    <w:p>
      <w:pPr>
        <w:spacing w:after="0" w:before="0"/>
        <w:jc w:val="center"/>
      </w:pPr>
      <w:r>
        <w:rPr>
          <w:rFonts w:ascii="Arial" w:cs="Arial" w:eastAsia="Arial" w:hAnsi="Arial"/>
          <w:i/>
          <w:iCs/>
          <w:color w:val="4A4A4A"/>
          <w:sz w:val="20"/>
          <w:szCs w:val="20"/>
        </w:rPr>
        <w:t xml:space="preserve">Holon Foundation — Policy No. 20</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Added Liability Protection section invoking the federal Volunteer Protection Act (42 U.S.C. §§ 14501–14505) and the Texas Charitable Immunity and Liability Act (Civ. Prac. &amp; Rem. Code Ch. 84).</w:t>
      </w:r>
    </w:p>
    <w:p>
      <w:pPr>
        <w:pStyle w:val="ListParagraph"/>
        <w:numPr>
          <w:ilvl w:val="0"/>
          <w:numId w:val="2"/>
        </w:numPr>
        <w:spacing w:after="40" w:before="40" w:line="300"/>
      </w:pPr>
      <w:r>
        <w:rPr>
          <w:rFonts w:ascii="Arial" w:cs="Arial" w:eastAsia="Arial" w:hAnsi="Arial"/>
          <w:color w:val="1F1E1E"/>
          <w:sz w:val="22"/>
          <w:szCs w:val="22"/>
        </w:rPr>
        <w:t xml:space="preserve">Specified FCRA-compliant background-check process with role-based screening triggers and adverse-action procedure; cross-referenced Texas DPS criminal-history check for child-serving roles.</w:t>
      </w:r>
    </w:p>
    <w:p>
      <w:pPr>
        <w:pStyle w:val="ListParagraph"/>
        <w:numPr>
          <w:ilvl w:val="0"/>
          <w:numId w:val="2"/>
        </w:numPr>
        <w:spacing w:after="40" w:before="40" w:line="300"/>
      </w:pPr>
      <w:r>
        <w:rPr>
          <w:rFonts w:ascii="Arial" w:cs="Arial" w:eastAsia="Arial" w:hAnsi="Arial"/>
          <w:color w:val="1F1E1E"/>
          <w:sz w:val="22"/>
          <w:szCs w:val="22"/>
        </w:rPr>
        <w:t xml:space="preserve">Expanded Minor Volunteers section with age-floor (14 / 16 for power equipment), parental consent including SCOPE Act, supervision ratios, hazardous-task prohibition, hour caps; cross-referenced Policies No. 31 and 32.</w:t>
      </w:r>
    </w:p>
    <w:p>
      <w:pPr>
        <w:pStyle w:val="ListParagraph"/>
        <w:numPr>
          <w:ilvl w:val="0"/>
          <w:numId w:val="2"/>
        </w:numPr>
        <w:spacing w:after="40" w:before="40" w:line="300"/>
      </w:pPr>
      <w:r>
        <w:rPr>
          <w:rFonts w:ascii="Arial" w:cs="Arial" w:eastAsia="Arial" w:hAnsi="Arial"/>
          <w:color w:val="1F1E1E"/>
          <w:sz w:val="22"/>
          <w:szCs w:val="22"/>
        </w:rPr>
        <w:t xml:space="preserve">Added Volunteer Classification section addressing DOL economic-realities and FLSA misclassification risk, distinguishing reimbursement from compensation.</w:t>
      </w:r>
    </w:p>
    <w:p>
      <w:pPr>
        <w:pStyle w:val="ListParagraph"/>
        <w:numPr>
          <w:ilvl w:val="0"/>
          <w:numId w:val="2"/>
        </w:numPr>
        <w:spacing w:after="40" w:before="40" w:line="300"/>
      </w:pPr>
      <w:r>
        <w:rPr>
          <w:rFonts w:ascii="Arial" w:cs="Arial" w:eastAsia="Arial" w:hAnsi="Arial"/>
          <w:color w:val="1F1E1E"/>
          <w:sz w:val="22"/>
          <w:szCs w:val="22"/>
        </w:rPr>
        <w:t xml:space="preserve">Added Separation &amp; De-listing procedure with cure period, written notice, and appeal path.</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Purpose</w:t>
      </w:r>
    </w:p>
    <w:p>
      <w:pPr>
        <w:spacing w:after="120" w:before="60" w:line="320"/>
        <w:jc w:val="both"/>
      </w:pPr>
      <w:r>
        <w:rPr>
          <w:rFonts w:ascii="Arial" w:cs="Arial" w:eastAsia="Arial" w:hAnsi="Arial"/>
          <w:color w:val="1F1E1E"/>
          <w:sz w:val="22"/>
          <w:szCs w:val="22"/>
        </w:rPr>
        <w:t xml:space="preserve">This policy establishes guidelines for the recruitment, engagement, management, and recognition of volunteers at Holon Foundation. It ensures that volunteer experiences are positive, productive, and aligned with the Foundation's conservation mission while protecting both volunteers and the organization.</w:t>
      </w:r>
    </w:p>
    <w:p>
      <w:pPr>
        <w:keepNext/>
        <w:spacing w:after="160" w:before="360"/>
      </w:pPr>
      <w:r>
        <w:rPr>
          <w:rFonts w:ascii="Arial" w:cs="Arial" w:eastAsia="Arial" w:hAnsi="Arial"/>
          <w:b/>
          <w:bCs/>
          <w:color w:val="561217"/>
          <w:sz w:val="26"/>
          <w:szCs w:val="26"/>
        </w:rPr>
        <w:t xml:space="preserve">Definition</w:t>
      </w:r>
    </w:p>
    <w:p>
      <w:pPr>
        <w:spacing w:after="120" w:before="60" w:line="320"/>
        <w:jc w:val="both"/>
      </w:pPr>
      <w:r>
        <w:rPr>
          <w:rFonts w:ascii="Arial" w:cs="Arial" w:eastAsia="Arial" w:hAnsi="Arial"/>
          <w:color w:val="1F1E1E"/>
          <w:sz w:val="22"/>
          <w:szCs w:val="22"/>
        </w:rPr>
        <w:t xml:space="preserve">A volunteer is any individual who contributes time and effort to Holon Foundation activities without expectation of compensation. This includes garden stewards, community verifiers, event helpers, committee volunteers, and other supporters.</w:t>
      </w:r>
    </w:p>
    <w:p>
      <w:pPr>
        <w:keepNext/>
        <w:spacing w:after="160" w:before="360"/>
      </w:pPr>
      <w:r>
        <w:rPr>
          <w:rFonts w:ascii="Arial" w:cs="Arial" w:eastAsia="Arial" w:hAnsi="Arial"/>
          <w:b/>
          <w:bCs/>
          <w:color w:val="561217"/>
          <w:sz w:val="26"/>
          <w:szCs w:val="26"/>
        </w:rPr>
        <w:t xml:space="preserve">Volunteer Rights</w:t>
      </w:r>
    </w:p>
    <w:p>
      <w:pPr>
        <w:pStyle w:val="ListParagraph"/>
        <w:numPr>
          <w:ilvl w:val="0"/>
          <w:numId w:val="2"/>
        </w:numPr>
        <w:spacing w:after="40" w:before="40" w:line="300"/>
      </w:pPr>
      <w:r>
        <w:rPr>
          <w:rFonts w:ascii="Arial" w:cs="Arial" w:eastAsia="Arial" w:hAnsi="Arial"/>
          <w:color w:val="1F1E1E"/>
          <w:sz w:val="22"/>
          <w:szCs w:val="22"/>
        </w:rPr>
        <w:t xml:space="preserve">To receive a clear description of their volunteer role, responsibilities, and time expectations</w:t>
      </w:r>
    </w:p>
    <w:p>
      <w:pPr>
        <w:pStyle w:val="ListParagraph"/>
        <w:numPr>
          <w:ilvl w:val="0"/>
          <w:numId w:val="2"/>
        </w:numPr>
        <w:spacing w:after="40" w:before="40" w:line="300"/>
      </w:pPr>
      <w:r>
        <w:rPr>
          <w:rFonts w:ascii="Arial" w:cs="Arial" w:eastAsia="Arial" w:hAnsi="Arial"/>
          <w:color w:val="1F1E1E"/>
          <w:sz w:val="22"/>
          <w:szCs w:val="22"/>
        </w:rPr>
        <w:t xml:space="preserve">To receive orientation and training appropriate to their role</w:t>
      </w:r>
    </w:p>
    <w:p>
      <w:pPr>
        <w:pStyle w:val="ListParagraph"/>
        <w:numPr>
          <w:ilvl w:val="0"/>
          <w:numId w:val="2"/>
        </w:numPr>
        <w:spacing w:after="40" w:before="40" w:line="300"/>
      </w:pPr>
      <w:r>
        <w:rPr>
          <w:rFonts w:ascii="Arial" w:cs="Arial" w:eastAsia="Arial" w:hAnsi="Arial"/>
          <w:color w:val="1F1E1E"/>
          <w:sz w:val="22"/>
          <w:szCs w:val="22"/>
        </w:rPr>
        <w:t xml:space="preserve">To work in a safe, respectful, and inclusive environment</w:t>
      </w:r>
    </w:p>
    <w:p>
      <w:pPr>
        <w:pStyle w:val="ListParagraph"/>
        <w:numPr>
          <w:ilvl w:val="0"/>
          <w:numId w:val="2"/>
        </w:numPr>
        <w:spacing w:after="40" w:before="40" w:line="300"/>
      </w:pPr>
      <w:r>
        <w:rPr>
          <w:rFonts w:ascii="Arial" w:cs="Arial" w:eastAsia="Arial" w:hAnsi="Arial"/>
          <w:color w:val="1F1E1E"/>
          <w:sz w:val="22"/>
          <w:szCs w:val="22"/>
        </w:rPr>
        <w:t xml:space="preserve">To have their time valued and their contributions acknowledged</w:t>
      </w:r>
    </w:p>
    <w:p>
      <w:pPr>
        <w:pStyle w:val="ListParagraph"/>
        <w:numPr>
          <w:ilvl w:val="0"/>
          <w:numId w:val="2"/>
        </w:numPr>
        <w:spacing w:after="40" w:before="40" w:line="300"/>
      </w:pPr>
      <w:r>
        <w:rPr>
          <w:rFonts w:ascii="Arial" w:cs="Arial" w:eastAsia="Arial" w:hAnsi="Arial"/>
          <w:color w:val="1F1E1E"/>
          <w:sz w:val="22"/>
          <w:szCs w:val="22"/>
        </w:rPr>
        <w:t xml:space="preserve">To provide feedback and suggestions about their volunteer experience</w:t>
      </w:r>
    </w:p>
    <w:p>
      <w:pPr>
        <w:pStyle w:val="ListParagraph"/>
        <w:numPr>
          <w:ilvl w:val="0"/>
          <w:numId w:val="2"/>
        </w:numPr>
        <w:spacing w:after="40" w:before="40" w:line="300"/>
      </w:pPr>
      <w:r>
        <w:rPr>
          <w:rFonts w:ascii="Arial" w:cs="Arial" w:eastAsia="Arial" w:hAnsi="Arial"/>
          <w:color w:val="1F1E1E"/>
          <w:sz w:val="22"/>
          <w:szCs w:val="22"/>
        </w:rPr>
        <w:t xml:space="preserve">To be covered by the Foundation's general liability insurance while performing authorized volunteer activities</w:t>
      </w:r>
    </w:p>
    <w:p>
      <w:pPr>
        <w:pStyle w:val="ListParagraph"/>
        <w:numPr>
          <w:ilvl w:val="0"/>
          <w:numId w:val="2"/>
        </w:numPr>
        <w:spacing w:after="40" w:before="40" w:line="300"/>
      </w:pPr>
      <w:r>
        <w:rPr>
          <w:rFonts w:ascii="Arial" w:cs="Arial" w:eastAsia="Arial" w:hAnsi="Arial"/>
          <w:color w:val="1F1E1E"/>
          <w:sz w:val="22"/>
          <w:szCs w:val="22"/>
        </w:rPr>
        <w:t xml:space="preserve">To resign from their volunteer role at any time</w:t>
      </w:r>
    </w:p>
    <w:p>
      <w:pPr>
        <w:keepNext/>
        <w:spacing w:after="160" w:before="360"/>
      </w:pPr>
      <w:r>
        <w:rPr>
          <w:rFonts w:ascii="Arial" w:cs="Arial" w:eastAsia="Arial" w:hAnsi="Arial"/>
          <w:b/>
          <w:bCs/>
          <w:color w:val="561217"/>
          <w:sz w:val="26"/>
          <w:szCs w:val="26"/>
        </w:rPr>
        <w:t xml:space="preserve">Volunteer Responsibilities</w:t>
      </w:r>
    </w:p>
    <w:p>
      <w:pPr>
        <w:pStyle w:val="ListParagraph"/>
        <w:numPr>
          <w:ilvl w:val="0"/>
          <w:numId w:val="2"/>
        </w:numPr>
        <w:spacing w:after="40" w:before="40" w:line="300"/>
      </w:pPr>
      <w:r>
        <w:rPr>
          <w:rFonts w:ascii="Arial" w:cs="Arial" w:eastAsia="Arial" w:hAnsi="Arial"/>
          <w:color w:val="1F1E1E"/>
          <w:sz w:val="22"/>
          <w:szCs w:val="22"/>
        </w:rPr>
        <w:t xml:space="preserve">Fulfill commitments reliably and communicate promptly if unable to do so</w:t>
      </w:r>
    </w:p>
    <w:p>
      <w:pPr>
        <w:pStyle w:val="ListParagraph"/>
        <w:numPr>
          <w:ilvl w:val="0"/>
          <w:numId w:val="2"/>
        </w:numPr>
        <w:spacing w:after="40" w:before="40" w:line="300"/>
      </w:pPr>
      <w:r>
        <w:rPr>
          <w:rFonts w:ascii="Arial" w:cs="Arial" w:eastAsia="Arial" w:hAnsi="Arial"/>
          <w:color w:val="1F1E1E"/>
          <w:sz w:val="22"/>
          <w:szCs w:val="22"/>
        </w:rPr>
        <w:t xml:space="preserve">Follow Holon Foundation policies, including Policy No. 10 (Code of Conduct)</w:t>
      </w:r>
    </w:p>
    <w:p>
      <w:pPr>
        <w:pStyle w:val="ListParagraph"/>
        <w:numPr>
          <w:ilvl w:val="0"/>
          <w:numId w:val="2"/>
        </w:numPr>
        <w:spacing w:after="40" w:before="40" w:line="300"/>
      </w:pPr>
      <w:r>
        <w:rPr>
          <w:rFonts w:ascii="Arial" w:cs="Arial" w:eastAsia="Arial" w:hAnsi="Arial"/>
          <w:color w:val="1F1E1E"/>
          <w:sz w:val="22"/>
          <w:szCs w:val="22"/>
        </w:rPr>
        <w:t xml:space="preserve">Maintain confidentiality of non-public organizational information, consistent with Policy No. 09</w:t>
      </w:r>
    </w:p>
    <w:p>
      <w:pPr>
        <w:pStyle w:val="ListParagraph"/>
        <w:numPr>
          <w:ilvl w:val="0"/>
          <w:numId w:val="2"/>
        </w:numPr>
        <w:spacing w:after="40" w:before="40" w:line="300"/>
      </w:pPr>
      <w:r>
        <w:rPr>
          <w:rFonts w:ascii="Arial" w:cs="Arial" w:eastAsia="Arial" w:hAnsi="Arial"/>
          <w:color w:val="1F1E1E"/>
          <w:sz w:val="22"/>
          <w:szCs w:val="22"/>
        </w:rPr>
        <w:t xml:space="preserve">Treat fellow volunteers, staff, stewards, and community members with respect</w:t>
      </w:r>
    </w:p>
    <w:p>
      <w:pPr>
        <w:pStyle w:val="ListParagraph"/>
        <w:numPr>
          <w:ilvl w:val="0"/>
          <w:numId w:val="2"/>
        </w:numPr>
        <w:spacing w:after="40" w:before="40" w:line="300"/>
      </w:pPr>
      <w:r>
        <w:rPr>
          <w:rFonts w:ascii="Arial" w:cs="Arial" w:eastAsia="Arial" w:hAnsi="Arial"/>
          <w:color w:val="1F1E1E"/>
          <w:sz w:val="22"/>
          <w:szCs w:val="22"/>
        </w:rPr>
        <w:t xml:space="preserve">Report safety concerns, policy violations, or misconduct through appropriate channels (Policy No. 05, Whistleblower; Policy No. 33, Incident Reporting)</w:t>
      </w:r>
    </w:p>
    <w:p>
      <w:pPr>
        <w:pStyle w:val="ListParagraph"/>
        <w:numPr>
          <w:ilvl w:val="0"/>
          <w:numId w:val="2"/>
        </w:numPr>
        <w:spacing w:after="40" w:before="40" w:line="300"/>
      </w:pPr>
      <w:r>
        <w:rPr>
          <w:rFonts w:ascii="Arial" w:cs="Arial" w:eastAsia="Arial" w:hAnsi="Arial"/>
          <w:color w:val="1F1E1E"/>
          <w:sz w:val="22"/>
          <w:szCs w:val="22"/>
        </w:rPr>
        <w:t xml:space="preserve">Represent Holon Foundation positively in the community</w:t>
      </w:r>
    </w:p>
    <w:p>
      <w:pPr>
        <w:keepNext/>
        <w:spacing w:after="160" w:before="360"/>
      </w:pPr>
      <w:r>
        <w:rPr>
          <w:rFonts w:ascii="Arial" w:cs="Arial" w:eastAsia="Arial" w:hAnsi="Arial"/>
          <w:b/>
          <w:bCs/>
          <w:color w:val="561217"/>
          <w:sz w:val="26"/>
          <w:szCs w:val="26"/>
        </w:rPr>
        <w:t xml:space="preserve">Recruitment and Screening</w:t>
      </w:r>
    </w:p>
    <w:p>
      <w:pPr>
        <w:pStyle w:val="ListParagraph"/>
        <w:numPr>
          <w:ilvl w:val="0"/>
          <w:numId w:val="2"/>
        </w:numPr>
        <w:spacing w:after="40" w:before="40" w:line="300"/>
      </w:pPr>
      <w:r>
        <w:rPr>
          <w:rFonts w:ascii="Arial" w:cs="Arial" w:eastAsia="Arial" w:hAnsi="Arial"/>
          <w:color w:val="1F1E1E"/>
          <w:sz w:val="22"/>
          <w:szCs w:val="22"/>
        </w:rPr>
        <w:t xml:space="preserve">Volunteer opportunities are posted publicly and available to all qualified individuals.</w:t>
      </w:r>
    </w:p>
    <w:p>
      <w:pPr>
        <w:pStyle w:val="ListParagraph"/>
        <w:numPr>
          <w:ilvl w:val="0"/>
          <w:numId w:val="2"/>
        </w:numPr>
        <w:spacing w:after="40" w:before="40" w:line="300"/>
      </w:pPr>
      <w:r>
        <w:rPr>
          <w:rFonts w:ascii="Arial" w:cs="Arial" w:eastAsia="Arial" w:hAnsi="Arial"/>
          <w:color w:val="1F1E1E"/>
          <w:sz w:val="22"/>
          <w:szCs w:val="22"/>
        </w:rPr>
        <w:t xml:space="preserve">All volunteers complete a registration form and acknowledge the Code of Conduct.</w:t>
      </w:r>
    </w:p>
    <w:p>
      <w:pPr>
        <w:keepNext/>
        <w:spacing w:after="120" w:before="240"/>
      </w:pPr>
      <w:r>
        <w:rPr>
          <w:rFonts w:ascii="Arial" w:cs="Arial" w:eastAsia="Arial" w:hAnsi="Arial"/>
          <w:b/>
          <w:bCs/>
          <w:color w:val="3B5937"/>
          <w:sz w:val="22"/>
          <w:szCs w:val="22"/>
        </w:rPr>
        <w:t xml:space="preserve">Background Checks</w:t>
      </w:r>
    </w:p>
    <w:p>
      <w:pPr>
        <w:spacing w:after="120" w:before="60" w:line="320"/>
        <w:jc w:val="both"/>
      </w:pPr>
      <w:r>
        <w:rPr>
          <w:rFonts w:ascii="Arial" w:cs="Arial" w:eastAsia="Arial" w:hAnsi="Arial"/>
          <w:color w:val="1F1E1E"/>
          <w:sz w:val="22"/>
          <w:szCs w:val="22"/>
        </w:rPr>
        <w:t xml:space="preserve">The following volunteer roles require background screening prior to engagement:</w:t>
      </w:r>
    </w:p>
    <w:p>
      <w:pPr>
        <w:spacing w:after="120" w:before="60" w:line="320"/>
        <w:jc w:val="both"/>
      </w:pPr>
      <w:r>
        <w:rPr>
          <w:rFonts w:ascii="Arial" w:cs="Arial" w:eastAsia="Arial" w:hAnsi="Arial"/>
          <w:color w:val="1F1E1E"/>
          <w:sz w:val="22"/>
          <w:szCs w:val="22"/>
        </w:rPr>
        <w:t xml:space="preserve">(a) any role with regular access to minors (cross-reference Policy No. 31, Child Safety); (b) any role with custodial access to Foundation funds, financial systems, or donor records; (c) any role with administrative access to Foundation IT systems; (d) any leadership or supervisory role over other volunteers.</w:t>
      </w:r>
    </w:p>
    <w:p>
      <w:pPr>
        <w:spacing w:after="120" w:before="60" w:line="320"/>
        <w:jc w:val="both"/>
      </w:pPr>
      <w:r>
        <w:rPr>
          <w:rFonts w:ascii="Arial" w:cs="Arial" w:eastAsia="Arial" w:hAnsi="Arial"/>
          <w:color w:val="1F1E1E"/>
          <w:sz w:val="22"/>
          <w:szCs w:val="22"/>
        </w:rPr>
        <w:t xml:space="preserve">Background screening shall be conducted through an FCRA-compliant consumer reporting agency, with the volunteer's prior written authorization on the Foundation's standard FCRA Disclosure &amp; Authorization form.</w:t>
      </w:r>
    </w:p>
    <w:p>
      <w:pPr>
        <w:spacing w:after="120" w:before="60" w:line="320"/>
        <w:jc w:val="both"/>
      </w:pPr>
      <w:r>
        <w:rPr>
          <w:rFonts w:ascii="Arial" w:cs="Arial" w:eastAsia="Arial" w:hAnsi="Arial"/>
          <w:color w:val="1F1E1E"/>
          <w:sz w:val="22"/>
          <w:szCs w:val="22"/>
        </w:rPr>
        <w:t xml:space="preserve">If a background report contains adverse information, the Foundation shall provide the volunteer with:</w:t>
      </w:r>
    </w:p>
    <w:p>
      <w:pPr>
        <w:spacing w:after="120" w:before="60" w:line="320"/>
        <w:jc w:val="both"/>
      </w:pPr>
      <w:r>
        <w:rPr>
          <w:rFonts w:ascii="Arial" w:cs="Arial" w:eastAsia="Arial" w:hAnsi="Arial"/>
          <w:color w:val="1F1E1E"/>
          <w:sz w:val="22"/>
          <w:szCs w:val="22"/>
        </w:rPr>
        <w:t xml:space="preserve">(i) a copy of the report and the FTC "Summary of Your Rights" before adverse action; (ii) at least five (5) business days to respond; (iii) a final adverse-action notice if disengagement is decided, naming the consumer reporting agency.</w:t>
      </w:r>
    </w:p>
    <w:p>
      <w:pPr>
        <w:spacing w:after="120" w:before="60" w:line="320"/>
        <w:jc w:val="both"/>
      </w:pPr>
      <w:r>
        <w:rPr>
          <w:rFonts w:ascii="Arial" w:cs="Arial" w:eastAsia="Arial" w:hAnsi="Arial"/>
          <w:color w:val="1F1E1E"/>
          <w:sz w:val="22"/>
          <w:szCs w:val="22"/>
        </w:rPr>
        <w:t xml:space="preserve">For roles serving minors, the Foundation may additionally require fingerprint-based criminal-history check through the Texas DPS Crime Records Service under Government Code Ch. 411.</w:t>
      </w:r>
    </w:p>
    <w:p>
      <w:pPr>
        <w:keepNext/>
        <w:spacing w:after="120" w:before="240"/>
      </w:pPr>
      <w:r>
        <w:rPr>
          <w:rFonts w:ascii="Arial" w:cs="Arial" w:eastAsia="Arial" w:hAnsi="Arial"/>
          <w:b/>
          <w:bCs/>
          <w:color w:val="3B5937"/>
          <w:sz w:val="22"/>
          <w:szCs w:val="22"/>
        </w:rPr>
        <w:t xml:space="preserve">Minor Volunteers (Under 18)</w:t>
      </w:r>
    </w:p>
    <w:p>
      <w:pPr>
        <w:spacing w:after="120" w:before="60" w:line="320"/>
        <w:jc w:val="both"/>
      </w:pPr>
      <w:r>
        <w:rPr>
          <w:rFonts w:ascii="Arial" w:cs="Arial" w:eastAsia="Arial" w:hAnsi="Arial"/>
          <w:color w:val="1F1E1E"/>
          <w:sz w:val="22"/>
          <w:szCs w:val="22"/>
        </w:rPr>
        <w:t xml:space="preserve">The Foundation engages minor volunteers (age 14–17) in age-appropriate, non-hazardous conservation activities under the following baseline conditions, supplemented by the more specific protocols in Holon Foundation Policy No. 31 (Child Safety) and Policy No. 32 (Youth Engagement):</w:t>
      </w:r>
    </w:p>
    <w:p>
      <w:pPr>
        <w:spacing w:after="120" w:before="60" w:line="320"/>
        <w:jc w:val="both"/>
      </w:pPr>
      <w:r>
        <w:rPr>
          <w:rFonts w:ascii="Arial" w:cs="Arial" w:eastAsia="Arial" w:hAnsi="Arial"/>
          <w:color w:val="1F1E1E"/>
          <w:sz w:val="22"/>
          <w:szCs w:val="22"/>
        </w:rPr>
        <w:t xml:space="preserve">(a) volunteers must be at least 14 years old, and 16 for activities involving power equipment of any kind;</w:t>
      </w:r>
    </w:p>
    <w:p>
      <w:pPr>
        <w:spacing w:after="120" w:before="60" w:line="320"/>
        <w:jc w:val="both"/>
      </w:pPr>
      <w:r>
        <w:rPr>
          <w:rFonts w:ascii="Arial" w:cs="Arial" w:eastAsia="Arial" w:hAnsi="Arial"/>
          <w:color w:val="1F1E1E"/>
          <w:sz w:val="22"/>
          <w:szCs w:val="22"/>
        </w:rPr>
        <w:t xml:space="preserve">(b) verifiable written consent from a parent or legal guardian on the Foundation's Parental Consent Form, including photo-and-video consent under Texas HB 18 (SCOPE Act);</w:t>
      </w:r>
    </w:p>
    <w:p>
      <w:pPr>
        <w:spacing w:after="120" w:before="60" w:line="320"/>
        <w:jc w:val="both"/>
      </w:pPr>
      <w:r>
        <w:rPr>
          <w:rFonts w:ascii="Arial" w:cs="Arial" w:eastAsia="Arial" w:hAnsi="Arial"/>
          <w:color w:val="1F1E1E"/>
          <w:sz w:val="22"/>
          <w:szCs w:val="22"/>
        </w:rPr>
        <w:t xml:space="preserve">(c) adult-to-minor supervision ratio of at least 1:8 for outdoor activities, 1:6 for indoor/event activities, and never fewer than two unrelated adults present where minors are present;</w:t>
      </w:r>
    </w:p>
    <w:p>
      <w:pPr>
        <w:spacing w:after="120" w:before="60" w:line="320"/>
        <w:jc w:val="both"/>
      </w:pPr>
      <w:r>
        <w:rPr>
          <w:rFonts w:ascii="Arial" w:cs="Arial" w:eastAsia="Arial" w:hAnsi="Arial"/>
          <w:color w:val="1F1E1E"/>
          <w:sz w:val="22"/>
          <w:szCs w:val="22"/>
        </w:rPr>
        <w:t xml:space="preserve">(d) prohibited from operating power equipment, handling chemicals (including fertilizers in non-de-minimis quantities), working at heights above ground level, working with hazardous tools, or working alone with an unrelated adult;</w:t>
      </w:r>
    </w:p>
    <w:p>
      <w:pPr>
        <w:spacing w:after="120" w:before="60" w:line="320"/>
        <w:jc w:val="both"/>
      </w:pPr>
      <w:r>
        <w:rPr>
          <w:rFonts w:ascii="Arial" w:cs="Arial" w:eastAsia="Arial" w:hAnsi="Arial"/>
          <w:color w:val="1F1E1E"/>
          <w:sz w:val="22"/>
          <w:szCs w:val="22"/>
        </w:rPr>
        <w:t xml:space="preserve">(e) total weekly hours capped at the lower of state limits or 18 hours during school weeks;</w:t>
      </w:r>
    </w:p>
    <w:p>
      <w:pPr>
        <w:spacing w:after="120" w:before="60" w:line="320"/>
        <w:jc w:val="both"/>
      </w:pPr>
      <w:r>
        <w:rPr>
          <w:rFonts w:ascii="Arial" w:cs="Arial" w:eastAsia="Arial" w:hAnsi="Arial"/>
          <w:color w:val="1F1E1E"/>
          <w:sz w:val="22"/>
          <w:szCs w:val="22"/>
        </w:rPr>
        <w:t xml:space="preserve">(f) any incident involving a minor reported immediately under Policy No. 33 (Incident Reporting).</w:t>
      </w:r>
    </w:p>
    <w:p>
      <w:pPr>
        <w:keepNext/>
        <w:spacing w:after="160" w:before="360"/>
      </w:pPr>
      <w:r>
        <w:rPr>
          <w:rFonts w:ascii="Arial" w:cs="Arial" w:eastAsia="Arial" w:hAnsi="Arial"/>
          <w:b/>
          <w:bCs/>
          <w:color w:val="561217"/>
          <w:sz w:val="26"/>
          <w:szCs w:val="26"/>
        </w:rPr>
        <w:t xml:space="preserve">Volunteer Classification</w:t>
      </w:r>
    </w:p>
    <w:p>
      <w:pPr>
        <w:spacing w:after="120" w:before="60" w:line="320"/>
        <w:jc w:val="both"/>
      </w:pPr>
      <w:r>
        <w:rPr>
          <w:rFonts w:ascii="Arial" w:cs="Arial" w:eastAsia="Arial" w:hAnsi="Arial"/>
          <w:color w:val="1F1E1E"/>
          <w:sz w:val="22"/>
          <w:szCs w:val="22"/>
        </w:rPr>
        <w:t xml:space="preserve">Volunteer relationships are defined by absence of compensation expectation, freedom from coercion, and performance of services for civic, charitable, or humanitarian reasons rather than for the volunteer's own commercial benefit. To preserve volunteer status and avoid misclassification under FLSA economic-realities and DOL Wage and Hour Division guidance (Fact Sheet #14A):</w:t>
      </w:r>
    </w:p>
    <w:p>
      <w:pPr>
        <w:spacing w:after="120" w:before="60" w:line="320"/>
        <w:jc w:val="both"/>
      </w:pPr>
      <w:r>
        <w:rPr>
          <w:rFonts w:ascii="Arial" w:cs="Arial" w:eastAsia="Arial" w:hAnsi="Arial"/>
          <w:color w:val="1F1E1E"/>
          <w:sz w:val="22"/>
          <w:szCs w:val="22"/>
        </w:rPr>
        <w:t xml:space="preserve">(a) volunteers may receive reimbursement for documented expenses and de minimis recognition items (under $50 retail value), but not "compensation" as defined under the FLSA;</w:t>
      </w:r>
    </w:p>
    <w:p>
      <w:pPr>
        <w:spacing w:after="120" w:before="60" w:line="320"/>
        <w:jc w:val="both"/>
      </w:pPr>
      <w:r>
        <w:rPr>
          <w:rFonts w:ascii="Arial" w:cs="Arial" w:eastAsia="Arial" w:hAnsi="Arial"/>
          <w:color w:val="1F1E1E"/>
          <w:sz w:val="22"/>
          <w:szCs w:val="22"/>
        </w:rPr>
        <w:t xml:space="preserve">(b) volunteer hours shall be tracked and capped where reasonably possible to avoid the appearance of full-time displacement;</w:t>
      </w:r>
    </w:p>
    <w:p>
      <w:pPr>
        <w:spacing w:after="120" w:before="60" w:line="320"/>
        <w:jc w:val="both"/>
      </w:pPr>
      <w:r>
        <w:rPr>
          <w:rFonts w:ascii="Arial" w:cs="Arial" w:eastAsia="Arial" w:hAnsi="Arial"/>
          <w:color w:val="1F1E1E"/>
          <w:sz w:val="22"/>
          <w:szCs w:val="22"/>
        </w:rPr>
        <w:t xml:space="preserve">(c) the Foundation shall not require volunteer hours as a condition of receiving services or membership benefits;</w:t>
      </w:r>
    </w:p>
    <w:p>
      <w:pPr>
        <w:spacing w:after="120" w:before="60" w:line="320"/>
        <w:jc w:val="both"/>
      </w:pPr>
      <w:r>
        <w:rPr>
          <w:rFonts w:ascii="Arial" w:cs="Arial" w:eastAsia="Arial" w:hAnsi="Arial"/>
          <w:color w:val="1F1E1E"/>
          <w:sz w:val="22"/>
          <w:szCs w:val="22"/>
        </w:rPr>
        <w:t xml:space="preserve">(d) where the same individual functions in both paid (employee or contractor) and volunteer capacities, the activities shall be clearly delineated and the volunteer activity shall be distinct in type from the paid work.</w:t>
      </w:r>
    </w:p>
    <w:p>
      <w:pPr>
        <w:keepNext/>
        <w:spacing w:after="160" w:before="360"/>
      </w:pPr>
      <w:r>
        <w:rPr>
          <w:rFonts w:ascii="Arial" w:cs="Arial" w:eastAsia="Arial" w:hAnsi="Arial"/>
          <w:b/>
          <w:bCs/>
          <w:color w:val="561217"/>
          <w:sz w:val="26"/>
          <w:szCs w:val="26"/>
        </w:rPr>
        <w:t xml:space="preserve">Recognition</w:t>
      </w:r>
    </w:p>
    <w:p>
      <w:pPr>
        <w:spacing w:after="120" w:before="60" w:line="320"/>
        <w:jc w:val="both"/>
      </w:pPr>
      <w:r>
        <w:rPr>
          <w:rFonts w:ascii="Arial" w:cs="Arial" w:eastAsia="Arial" w:hAnsi="Arial"/>
          <w:color w:val="1F1E1E"/>
          <w:sz w:val="22"/>
          <w:szCs w:val="22"/>
        </w:rPr>
        <w:t xml:space="preserve">Holon Foundation values its volunteers and recognizes their contributions through:</w:t>
      </w:r>
    </w:p>
    <w:p>
      <w:pPr>
        <w:pStyle w:val="ListParagraph"/>
        <w:numPr>
          <w:ilvl w:val="0"/>
          <w:numId w:val="2"/>
        </w:numPr>
        <w:spacing w:after="40" w:before="40" w:line="300"/>
      </w:pPr>
      <w:r>
        <w:rPr>
          <w:rFonts w:ascii="Arial" w:cs="Arial" w:eastAsia="Arial" w:hAnsi="Arial"/>
          <w:color w:val="1F1E1E"/>
          <w:sz w:val="22"/>
          <w:szCs w:val="22"/>
        </w:rPr>
        <w:t xml:space="preserve">Public acknowledgment in annual impact reports and on the Trust Portal</w:t>
      </w:r>
    </w:p>
    <w:p>
      <w:pPr>
        <w:pStyle w:val="ListParagraph"/>
        <w:numPr>
          <w:ilvl w:val="0"/>
          <w:numId w:val="2"/>
        </w:numPr>
        <w:spacing w:after="40" w:before="40" w:line="300"/>
      </w:pPr>
      <w:r>
        <w:rPr>
          <w:rFonts w:ascii="Arial" w:cs="Arial" w:eastAsia="Arial" w:hAnsi="Arial"/>
          <w:color w:val="1F1E1E"/>
          <w:sz w:val="22"/>
          <w:szCs w:val="22"/>
        </w:rPr>
        <w:t xml:space="preserve">Volunteer appreciation events and communications</w:t>
      </w:r>
    </w:p>
    <w:p>
      <w:pPr>
        <w:pStyle w:val="ListParagraph"/>
        <w:numPr>
          <w:ilvl w:val="0"/>
          <w:numId w:val="2"/>
        </w:numPr>
        <w:spacing w:after="40" w:before="40" w:line="300"/>
      </w:pPr>
      <w:r>
        <w:rPr>
          <w:rFonts w:ascii="Arial" w:cs="Arial" w:eastAsia="Arial" w:hAnsi="Arial"/>
          <w:color w:val="1F1E1E"/>
          <w:sz w:val="22"/>
          <w:szCs w:val="22"/>
        </w:rPr>
        <w:t xml:space="preserve">Letters of reference upon request for long-serving volunteers</w:t>
      </w:r>
    </w:p>
    <w:p>
      <w:pPr>
        <w:pStyle w:val="ListParagraph"/>
        <w:numPr>
          <w:ilvl w:val="0"/>
          <w:numId w:val="2"/>
        </w:numPr>
        <w:spacing w:after="40" w:before="40" w:line="300"/>
      </w:pPr>
      <w:r>
        <w:rPr>
          <w:rFonts w:ascii="Arial" w:cs="Arial" w:eastAsia="Arial" w:hAnsi="Arial"/>
          <w:color w:val="1F1E1E"/>
          <w:sz w:val="22"/>
          <w:szCs w:val="22"/>
        </w:rPr>
        <w:t xml:space="preserve">Skill development and training opportunities</w:t>
      </w:r>
    </w:p>
    <w:p>
      <w:pPr>
        <w:keepNext/>
        <w:spacing w:after="160" w:before="360"/>
      </w:pPr>
      <w:r>
        <w:rPr>
          <w:rFonts w:ascii="Arial" w:cs="Arial" w:eastAsia="Arial" w:hAnsi="Arial"/>
          <w:b/>
          <w:bCs/>
          <w:color w:val="561217"/>
          <w:sz w:val="26"/>
          <w:szCs w:val="26"/>
        </w:rPr>
        <w:t xml:space="preserve">Liability and Insurance</w:t>
      </w:r>
    </w:p>
    <w:p>
      <w:pPr>
        <w:keepNext/>
        <w:spacing w:after="120" w:before="240"/>
      </w:pPr>
      <w:r>
        <w:rPr>
          <w:rFonts w:ascii="Arial" w:cs="Arial" w:eastAsia="Arial" w:hAnsi="Arial"/>
          <w:b/>
          <w:bCs/>
          <w:color w:val="3B5937"/>
          <w:sz w:val="22"/>
          <w:szCs w:val="22"/>
        </w:rPr>
        <w:t xml:space="preserve">Liability Protection</w:t>
      </w:r>
    </w:p>
    <w:p>
      <w:pPr>
        <w:spacing w:after="120" w:before="60" w:line="320"/>
        <w:jc w:val="both"/>
      </w:pPr>
      <w:r>
        <w:rPr>
          <w:rFonts w:ascii="Arial" w:cs="Arial" w:eastAsia="Arial" w:hAnsi="Arial"/>
          <w:color w:val="1F1E1E"/>
          <w:sz w:val="22"/>
          <w:szCs w:val="22"/>
        </w:rPr>
        <w:t xml:space="preserve">Volunteers acting within the scope of their authorized duties for the Foundation may be entitled to limited liability protections under:</w:t>
      </w:r>
    </w:p>
    <w:p>
      <w:pPr>
        <w:spacing w:after="120" w:before="60" w:line="320"/>
        <w:jc w:val="both"/>
      </w:pPr>
      <w:r>
        <w:rPr>
          <w:rFonts w:ascii="Arial" w:cs="Arial" w:eastAsia="Arial" w:hAnsi="Arial"/>
          <w:color w:val="1F1E1E"/>
          <w:sz w:val="22"/>
          <w:szCs w:val="22"/>
        </w:rPr>
        <w:t xml:space="preserve">(a) the federal Volunteer Protection Act of 1997 (42 U.S.C. §§ 14501–14505), which generally shields nonprofit volunteers from liability for negligent acts performed within the scope of their volunteer responsibilities, subject to exceptions for willful misconduct, criminal acts, and motor-vehicle operations;</w:t>
      </w:r>
    </w:p>
    <w:p>
      <w:pPr>
        <w:spacing w:after="120" w:before="60" w:line="320"/>
        <w:jc w:val="both"/>
      </w:pPr>
      <w:r>
        <w:rPr>
          <w:rFonts w:ascii="Arial" w:cs="Arial" w:eastAsia="Arial" w:hAnsi="Arial"/>
          <w:color w:val="1F1E1E"/>
          <w:sz w:val="22"/>
          <w:szCs w:val="22"/>
        </w:rPr>
        <w:t xml:space="preserve">(b) the Texas Charitable Immunity and Liability Act, Texas Civil Practice &amp; Remedies Code Ch. 84, which provides analogous state-law protections.</w:t>
      </w:r>
    </w:p>
    <w:p>
      <w:pPr>
        <w:spacing w:after="120" w:before="60" w:line="320"/>
        <w:jc w:val="both"/>
      </w:pPr>
      <w:r>
        <w:rPr>
          <w:rFonts w:ascii="Arial" w:cs="Arial" w:eastAsia="Arial" w:hAnsi="Arial"/>
          <w:color w:val="1F1E1E"/>
          <w:sz w:val="22"/>
          <w:szCs w:val="22"/>
        </w:rPr>
        <w:t xml:space="preserve">The Foundation's general liability insurance covers volunteers acting within scope of authorization; the Foundation does not warrant the existence or extent of personal coverage, and volunteers are encouraged to consult their own insurance professionals.</w:t>
      </w:r>
    </w:p>
    <w:p>
      <w:pPr>
        <w:spacing w:after="120" w:before="60" w:line="320"/>
        <w:jc w:val="both"/>
      </w:pPr>
      <w:r>
        <w:rPr>
          <w:rFonts w:ascii="Arial" w:cs="Arial" w:eastAsia="Arial" w:hAnsi="Arial"/>
          <w:color w:val="1F1E1E"/>
          <w:sz w:val="22"/>
          <w:szCs w:val="22"/>
        </w:rPr>
        <w:t xml:space="preserve">Volunteers using personal vehicles for Foundation activities should maintain their own auto insurance. The Foundation is not responsible for personal injuries incurred outside of authorized volunteer activities.</w:t>
      </w:r>
    </w:p>
    <w:p>
      <w:pPr>
        <w:keepNext/>
        <w:spacing w:after="160" w:before="360"/>
      </w:pPr>
      <w:r>
        <w:rPr>
          <w:rFonts w:ascii="Arial" w:cs="Arial" w:eastAsia="Arial" w:hAnsi="Arial"/>
          <w:b/>
          <w:bCs/>
          <w:color w:val="561217"/>
          <w:sz w:val="26"/>
          <w:szCs w:val="26"/>
        </w:rPr>
        <w:t xml:space="preserve">Separation &amp; De-listing</w:t>
      </w:r>
    </w:p>
    <w:p>
      <w:pPr>
        <w:spacing w:after="120" w:before="60" w:line="320"/>
        <w:jc w:val="both"/>
      </w:pPr>
      <w:r>
        <w:rPr>
          <w:rFonts w:ascii="Arial" w:cs="Arial" w:eastAsia="Arial" w:hAnsi="Arial"/>
          <w:color w:val="1F1E1E"/>
          <w:sz w:val="22"/>
          <w:szCs w:val="22"/>
        </w:rPr>
        <w:t xml:space="preserve">The Foundation may terminate a volunteer relationship for any of the following reasons:</w:t>
      </w:r>
    </w:p>
    <w:p>
      <w:pPr>
        <w:spacing w:after="120" w:before="60" w:line="320"/>
        <w:jc w:val="both"/>
      </w:pPr>
      <w:r>
        <w:rPr>
          <w:rFonts w:ascii="Arial" w:cs="Arial" w:eastAsia="Arial" w:hAnsi="Arial"/>
          <w:color w:val="1F1E1E"/>
          <w:sz w:val="22"/>
          <w:szCs w:val="22"/>
        </w:rPr>
        <w:t xml:space="preserve">(a) failure to meet role expectations after written notice and a reasonable cure period; (b) violation of the Code of Conduct (Policy No. 10), Confidentiality Agreement (Policy No. 09), or other applicable policies; (c) safety concerns, including those identified through background screening or incident reports; (d) adverse impact on stewards, beneficiaries, or other volunteers; or (e) Foundation discretion in restructuring of volunteer roles.</w:t>
      </w:r>
    </w:p>
    <w:p>
      <w:pPr>
        <w:spacing w:after="120" w:before="60" w:line="320"/>
        <w:jc w:val="both"/>
      </w:pPr>
      <w:r>
        <w:rPr>
          <w:rFonts w:ascii="Arial" w:cs="Arial" w:eastAsia="Arial" w:hAnsi="Arial"/>
          <w:color w:val="1F1E1E"/>
          <w:sz w:val="22"/>
          <w:szCs w:val="22"/>
        </w:rPr>
        <w:t xml:space="preserve">Except for immediate-removal scenarios (safety, serious misconduct), the volunteer shall receive:</w:t>
      </w:r>
    </w:p>
    <w:p>
      <w:pPr>
        <w:spacing w:after="120" w:before="60" w:line="320"/>
        <w:jc w:val="both"/>
      </w:pPr>
      <w:r>
        <w:rPr>
          <w:rFonts w:ascii="Arial" w:cs="Arial" w:eastAsia="Arial" w:hAnsi="Arial"/>
          <w:color w:val="1F1E1E"/>
          <w:sz w:val="22"/>
          <w:szCs w:val="22"/>
        </w:rPr>
        <w:t xml:space="preserve">(i) written notice describing the concern; (ii) a reasonable opportunity to respond (typically 7 days); (iii) a final decision in writing; (iv) information about returning Foundation property and revoking system access; (v) information about the appeals process to the Executive Director or Governance Committee.</w:t>
      </w:r>
    </w:p>
    <w:p>
      <w:pPr>
        <w:spacing w:after="120" w:before="60" w:line="320"/>
        <w:jc w:val="both"/>
      </w:pPr>
      <w:r>
        <w:rPr>
          <w:rFonts w:ascii="Arial" w:cs="Arial" w:eastAsia="Arial" w:hAnsi="Arial"/>
          <w:color w:val="1F1E1E"/>
          <w:sz w:val="22"/>
          <w:szCs w:val="22"/>
        </w:rPr>
        <w:t xml:space="preserve">De-listing under this procedure shall not preclude future re-engagement at the Foundation's discretion, except where misconduct or safety concerns warrant permanent ineligibility.</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20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20  ·  VOLUNTEER MANAGEMENT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Management Policy</dc:title>
  <dc:creator>Holon Foundation</dc:creator>
  <dc:description>Holon Foundation — Policy No. 20</dc:description>
  <cp:lastModifiedBy>Un-named</cp:lastModifiedBy>
  <cp:revision>1</cp:revision>
  <dcterms:created xsi:type="dcterms:W3CDTF">2026-05-21T02:41:42.384Z</dcterms:created>
  <dcterms:modified xsi:type="dcterms:W3CDTF">2026-05-21T02:41:42.384Z</dcterms:modified>
</cp:coreProperties>
</file>

<file path=docProps/custom.xml><?xml version="1.0" encoding="utf-8"?>
<Properties xmlns="http://schemas.openxmlformats.org/officeDocument/2006/custom-properties" xmlns:vt="http://schemas.openxmlformats.org/officeDocument/2006/docPropsVTypes"/>
</file>