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19</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Lobbying and Advocacy Compliance Policy</w:t>
      </w:r>
    </w:p>
    <w:p>
      <w:pPr>
        <w:spacing w:after="0" w:before="0"/>
        <w:jc w:val="center"/>
      </w:pPr>
      <w:r>
        <w:rPr>
          <w:rFonts w:ascii="Arial" w:cs="Arial" w:eastAsia="Arial" w:hAnsi="Arial"/>
          <w:i/>
          <w:iCs/>
          <w:color w:val="4A4A4A"/>
          <w:sz w:val="20"/>
          <w:szCs w:val="20"/>
        </w:rPr>
        <w:t xml:space="preserve">Holon Foundation — Policy No. 19</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Corrected IRC § 4911 sliding-scale expenditure formula for the § 501(h) election (20%/15%/10%/5% by exempt-purpose-expenditure tier, $1M cap; grassroots = 25% of lobbying nontaxable amount); added IRC § 4911(a) and § 501(h)(3) penalty mechanics.</w:t>
      </w:r>
    </w:p>
    <w:p>
      <w:pPr>
        <w:pStyle w:val="ListParagraph"/>
        <w:numPr>
          <w:ilvl w:val="0"/>
          <w:numId w:val="2"/>
        </w:numPr>
        <w:spacing w:after="40" w:before="40" w:line="300"/>
      </w:pPr>
      <w:r>
        <w:rPr>
          <w:rFonts w:ascii="Arial" w:cs="Arial" w:eastAsia="Arial" w:hAnsi="Arial"/>
          <w:color w:val="1F1E1E"/>
          <w:sz w:val="22"/>
          <w:szCs w:val="22"/>
        </w:rPr>
        <w:t xml:space="preserve">Added Texas State Lobbying Registration section under Texas Government Code Ch. 305 with Texas Ethics Commission filing triggers and renewal cadence.</w:t>
      </w:r>
    </w:p>
    <w:p>
      <w:pPr>
        <w:pStyle w:val="ListParagraph"/>
        <w:numPr>
          <w:ilvl w:val="0"/>
          <w:numId w:val="2"/>
        </w:numPr>
        <w:spacing w:after="40" w:before="40" w:line="300"/>
      </w:pPr>
      <w:r>
        <w:rPr>
          <w:rFonts w:ascii="Arial" w:cs="Arial" w:eastAsia="Arial" w:hAnsi="Arial"/>
          <w:color w:val="1F1E1E"/>
          <w:sz w:val="22"/>
          <w:szCs w:val="22"/>
        </w:rPr>
        <w:t xml:space="preserve">Replaced the single "prohibition on contributions" bullet with structured Campaign Intervention — Absolute Prohibition and Permissible Activities (Safe Harbor for Voter Education) per Rev. Rul. 2007-41 and Rev. Rul. 78-248.</w:t>
      </w:r>
    </w:p>
    <w:p>
      <w:pPr>
        <w:pStyle w:val="ListParagraph"/>
        <w:numPr>
          <w:ilvl w:val="0"/>
          <w:numId w:val="2"/>
        </w:numPr>
        <w:spacing w:after="40" w:before="40" w:line="300"/>
      </w:pPr>
      <w:r>
        <w:rPr>
          <w:rFonts w:ascii="Arial" w:cs="Arial" w:eastAsia="Arial" w:hAnsi="Arial"/>
          <w:color w:val="1F1E1E"/>
          <w:sz w:val="22"/>
          <w:szCs w:val="22"/>
        </w:rPr>
        <w:t xml:space="preserve">Added Individual Capacity carve-out preserving directors' personal First Amendment rights while protecting Foundation attribution.</w:t>
      </w:r>
    </w:p>
    <w:p>
      <w:pPr>
        <w:pStyle w:val="ListParagraph"/>
        <w:numPr>
          <w:ilvl w:val="0"/>
          <w:numId w:val="2"/>
        </w:numPr>
        <w:spacing w:after="40" w:before="40" w:line="300"/>
      </w:pPr>
      <w:r>
        <w:rPr>
          <w:rFonts w:ascii="Arial" w:cs="Arial" w:eastAsia="Arial" w:hAnsi="Arial"/>
          <w:color w:val="1F1E1E"/>
          <w:sz w:val="22"/>
          <w:szCs w:val="22"/>
        </w:rPr>
        <w:t xml:space="preserve">Added Lobbying Activity Register with quarterly Treasurer review and 75% nontaxable-amount alert threshold.</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ensures Holon Foundation's compliance with IRS limitations on lobbying activities by 501(c)(3) organizations. It distinguishes between permissible advocacy and restricted lobbying, and establishes procedures for monitoring and reporting lobbying expenditures.</w:t>
      </w:r>
    </w:p>
    <w:p>
      <w:pPr>
        <w:keepNext/>
        <w:spacing w:after="160" w:before="360"/>
      </w:pPr>
      <w:r>
        <w:rPr>
          <w:rFonts w:ascii="Arial" w:cs="Arial" w:eastAsia="Arial" w:hAnsi="Arial"/>
          <w:b/>
          <w:bCs/>
          <w:color w:val="561217"/>
          <w:sz w:val="26"/>
          <w:szCs w:val="26"/>
        </w:rPr>
        <w:t xml:space="preserve">Definitions</w:t>
      </w:r>
    </w:p>
    <w:p>
      <w:pPr>
        <w:spacing w:after="120" w:before="60" w:line="320"/>
        <w:jc w:val="both"/>
      </w:pPr>
      <w:r>
        <w:rPr>
          <w:rFonts w:ascii="Arial" w:cs="Arial" w:eastAsia="Arial" w:hAnsi="Arial"/>
          <w:b/>
          <w:bCs/>
          <w:color w:val="1F1E1E"/>
          <w:sz w:val="22"/>
          <w:szCs w:val="22"/>
        </w:rPr>
        <w:t xml:space="preserve">Lobbying.</w:t>
      </w:r>
      <w:r>
        <w:rPr>
          <w:rFonts w:ascii="Arial" w:cs="Arial" w:eastAsia="Arial" w:hAnsi="Arial"/>
          <w:color w:val="1F1E1E"/>
          <w:sz w:val="22"/>
          <w:szCs w:val="22"/>
        </w:rPr>
        <w:t xml:space="preserve"> Attempting to influence legislation through communication with legislators or their staff (direct lobbying) or through communication with the public urging them to contact legislators (grassroots lobbying). Includes federal, state, and local legislation.</w:t>
      </w:r>
    </w:p>
    <w:p>
      <w:pPr>
        <w:spacing w:after="120" w:before="60" w:line="320"/>
        <w:jc w:val="both"/>
      </w:pPr>
      <w:r>
        <w:rPr>
          <w:rFonts w:ascii="Arial" w:cs="Arial" w:eastAsia="Arial" w:hAnsi="Arial"/>
          <w:b/>
          <w:bCs/>
          <w:color w:val="1F1E1E"/>
          <w:sz w:val="22"/>
          <w:szCs w:val="22"/>
        </w:rPr>
        <w:t xml:space="preserve">Advocacy.</w:t>
      </w:r>
      <w:r>
        <w:rPr>
          <w:rFonts w:ascii="Arial" w:cs="Arial" w:eastAsia="Arial" w:hAnsi="Arial"/>
          <w:color w:val="1F1E1E"/>
          <w:sz w:val="22"/>
          <w:szCs w:val="22"/>
        </w:rPr>
        <w:t xml:space="preserve"> Educating the public and policymakers about issues relevant to the Foundation's mission. Advocacy is generally permissible and includes research, public education, and responding to requests from legislative bodies.</w:t>
      </w:r>
    </w:p>
    <w:p>
      <w:pPr>
        <w:keepNext/>
        <w:spacing w:after="160" w:before="360"/>
      </w:pPr>
      <w:r>
        <w:rPr>
          <w:rFonts w:ascii="Arial" w:cs="Arial" w:eastAsia="Arial" w:hAnsi="Arial"/>
          <w:b/>
          <w:bCs/>
          <w:color w:val="561217"/>
          <w:sz w:val="26"/>
          <w:szCs w:val="26"/>
        </w:rPr>
        <w:t xml:space="preserve">Permissible Activities</w:t>
      </w:r>
    </w:p>
    <w:p>
      <w:pPr>
        <w:pStyle w:val="ListParagraph"/>
        <w:numPr>
          <w:ilvl w:val="0"/>
          <w:numId w:val="2"/>
        </w:numPr>
        <w:spacing w:after="40" w:before="40" w:line="300"/>
      </w:pPr>
      <w:r>
        <w:rPr>
          <w:rFonts w:ascii="Arial" w:cs="Arial" w:eastAsia="Arial" w:hAnsi="Arial"/>
          <w:color w:val="1F1E1E"/>
          <w:sz w:val="22"/>
          <w:szCs w:val="22"/>
        </w:rPr>
        <w:t xml:space="preserve">Nonpartisan public education about conservation issues</w:t>
      </w:r>
    </w:p>
    <w:p>
      <w:pPr>
        <w:pStyle w:val="ListParagraph"/>
        <w:numPr>
          <w:ilvl w:val="0"/>
          <w:numId w:val="2"/>
        </w:numPr>
        <w:spacing w:after="40" w:before="40" w:line="300"/>
      </w:pPr>
      <w:r>
        <w:rPr>
          <w:rFonts w:ascii="Arial" w:cs="Arial" w:eastAsia="Arial" w:hAnsi="Arial"/>
          <w:color w:val="1F1E1E"/>
          <w:sz w:val="22"/>
          <w:szCs w:val="22"/>
        </w:rPr>
        <w:t xml:space="preserve">Publishing research and analysis on environmental policy (without a call to action on specific legislation)</w:t>
      </w:r>
    </w:p>
    <w:p>
      <w:pPr>
        <w:pStyle w:val="ListParagraph"/>
        <w:numPr>
          <w:ilvl w:val="0"/>
          <w:numId w:val="2"/>
        </w:numPr>
        <w:spacing w:after="40" w:before="40" w:line="300"/>
      </w:pPr>
      <w:r>
        <w:rPr>
          <w:rFonts w:ascii="Arial" w:cs="Arial" w:eastAsia="Arial" w:hAnsi="Arial"/>
          <w:color w:val="1F1E1E"/>
          <w:sz w:val="22"/>
          <w:szCs w:val="22"/>
        </w:rPr>
        <w:t xml:space="preserve">Responding to written requests from legislative bodies for technical expertise</w:t>
      </w:r>
    </w:p>
    <w:p>
      <w:pPr>
        <w:pStyle w:val="ListParagraph"/>
        <w:numPr>
          <w:ilvl w:val="0"/>
          <w:numId w:val="2"/>
        </w:numPr>
        <w:spacing w:after="40" w:before="40" w:line="300"/>
      </w:pPr>
      <w:r>
        <w:rPr>
          <w:rFonts w:ascii="Arial" w:cs="Arial" w:eastAsia="Arial" w:hAnsi="Arial"/>
          <w:color w:val="1F1E1E"/>
          <w:sz w:val="22"/>
          <w:szCs w:val="22"/>
        </w:rPr>
        <w:t xml:space="preserve">Making available the results of nonpartisan analysis, study, or research</w:t>
      </w:r>
    </w:p>
    <w:p>
      <w:pPr>
        <w:pStyle w:val="ListParagraph"/>
        <w:numPr>
          <w:ilvl w:val="0"/>
          <w:numId w:val="2"/>
        </w:numPr>
        <w:spacing w:after="40" w:before="40" w:line="300"/>
      </w:pPr>
      <w:r>
        <w:rPr>
          <w:rFonts w:ascii="Arial" w:cs="Arial" w:eastAsia="Arial" w:hAnsi="Arial"/>
          <w:color w:val="1F1E1E"/>
          <w:sz w:val="22"/>
          <w:szCs w:val="22"/>
        </w:rPr>
        <w:t xml:space="preserve">Self-defense communications regarding legislation that would affect the Foundation's existence, powers, or tax-exempt status</w:t>
      </w:r>
    </w:p>
    <w:p>
      <w:pPr>
        <w:pStyle w:val="ListParagraph"/>
        <w:numPr>
          <w:ilvl w:val="0"/>
          <w:numId w:val="2"/>
        </w:numPr>
        <w:spacing w:after="40" w:before="40" w:line="300"/>
      </w:pPr>
      <w:r>
        <w:rPr>
          <w:rFonts w:ascii="Arial" w:cs="Arial" w:eastAsia="Arial" w:hAnsi="Arial"/>
          <w:color w:val="1F1E1E"/>
          <w:sz w:val="22"/>
          <w:szCs w:val="22"/>
        </w:rPr>
        <w:t xml:space="preserve">Discussions of broad social, economic, and environmental issues even if related to pending legislation, provided no specific legislation is referenced</w:t>
      </w:r>
    </w:p>
    <w:p>
      <w:pPr>
        <w:keepNext/>
        <w:spacing w:after="160" w:before="360"/>
      </w:pPr>
      <w:r>
        <w:rPr>
          <w:rFonts w:ascii="Arial" w:cs="Arial" w:eastAsia="Arial" w:hAnsi="Arial"/>
          <w:b/>
          <w:bCs/>
          <w:color w:val="561217"/>
          <w:sz w:val="26"/>
          <w:szCs w:val="26"/>
        </w:rPr>
        <w:t xml:space="preserve">Campaign Intervention — Absolute Prohibition</w:t>
      </w:r>
    </w:p>
    <w:p>
      <w:pPr>
        <w:spacing w:after="120" w:before="60" w:line="320"/>
        <w:jc w:val="both"/>
      </w:pPr>
      <w:r>
        <w:rPr>
          <w:rFonts w:ascii="Arial" w:cs="Arial" w:eastAsia="Arial" w:hAnsi="Arial"/>
          <w:color w:val="1F1E1E"/>
          <w:sz w:val="22"/>
          <w:szCs w:val="22"/>
        </w:rPr>
        <w:t xml:space="preserve">Pursuant to IRC § 501(c)(3), the Foundation is absolutely prohibited from participating in, or intervening in (including the publishing or distributing of statements), any political campaign on behalf of, or in opposition to, any candidate for elective public office.</w:t>
      </w:r>
    </w:p>
    <w:p>
      <w:pPr>
        <w:spacing w:after="120" w:before="60" w:line="320"/>
        <w:jc w:val="both"/>
      </w:pPr>
      <w:r>
        <w:rPr>
          <w:rFonts w:ascii="Arial" w:cs="Arial" w:eastAsia="Arial" w:hAnsi="Arial"/>
          <w:color w:val="1F1E1E"/>
          <w:sz w:val="22"/>
          <w:szCs w:val="22"/>
        </w:rPr>
        <w:t xml:space="preserve">Prohibited activities include:</w:t>
      </w:r>
    </w:p>
    <w:p>
      <w:pPr>
        <w:spacing w:after="120" w:before="60" w:line="320"/>
        <w:jc w:val="both"/>
      </w:pPr>
      <w:r>
        <w:rPr>
          <w:rFonts w:ascii="Arial" w:cs="Arial" w:eastAsia="Arial" w:hAnsi="Arial"/>
          <w:color w:val="1F1E1E"/>
          <w:sz w:val="22"/>
          <w:szCs w:val="22"/>
        </w:rPr>
        <w:t xml:space="preserve">(a) direct or in-kind contributions to candidates, political parties, or political action committees; (b) endorsements (express or implicit) of candidates; (c) preparation of campaign materials or campaign websites; (d) sharing of donor or steward lists with campaigns; (e) hosting candidate-only events or providing facilities/staff to a campaign on terms unavailable to all candidates.</w:t>
      </w:r>
    </w:p>
    <w:p>
      <w:pPr>
        <w:keepNext/>
        <w:spacing w:after="120" w:before="240"/>
      </w:pPr>
      <w:r>
        <w:rPr>
          <w:rFonts w:ascii="Arial" w:cs="Arial" w:eastAsia="Arial" w:hAnsi="Arial"/>
          <w:b/>
          <w:bCs/>
          <w:color w:val="3B5937"/>
          <w:sz w:val="22"/>
          <w:szCs w:val="22"/>
        </w:rPr>
        <w:t xml:space="preserve">Permissible Activities (Safe Harbor for Voter Education)</w:t>
      </w:r>
    </w:p>
    <w:p>
      <w:pPr>
        <w:spacing w:after="120" w:before="60" w:line="320"/>
        <w:jc w:val="both"/>
      </w:pPr>
      <w:r>
        <w:rPr>
          <w:rFonts w:ascii="Arial" w:cs="Arial" w:eastAsia="Arial" w:hAnsi="Arial"/>
          <w:color w:val="1F1E1E"/>
          <w:sz w:val="22"/>
          <w:szCs w:val="22"/>
        </w:rPr>
        <w:t xml:space="preserve">The Foundation may, in a nonpartisan manner:</w:t>
      </w:r>
    </w:p>
    <w:p>
      <w:pPr>
        <w:spacing w:after="120" w:before="60" w:line="320"/>
        <w:jc w:val="both"/>
      </w:pPr>
      <w:r>
        <w:rPr>
          <w:rFonts w:ascii="Arial" w:cs="Arial" w:eastAsia="Arial" w:hAnsi="Arial"/>
          <w:color w:val="1F1E1E"/>
          <w:sz w:val="22"/>
          <w:szCs w:val="22"/>
        </w:rPr>
        <w:t xml:space="preserve">(i) host candidate forums open to all candidates and balanced in topics; (ii) distribute voter-education materials covering broad ranges of issues; (iii) publish candidate questionnaires inviting all candidates to respond and publishing all responses verbatim; (iv) conduct voter-registration activities without partisan filtering,</w:t>
      </w:r>
    </w:p>
    <w:p>
      <w:pPr>
        <w:spacing w:after="120" w:before="60" w:line="320"/>
        <w:jc w:val="both"/>
      </w:pPr>
      <w:r>
        <w:rPr>
          <w:rFonts w:ascii="Arial" w:cs="Arial" w:eastAsia="Arial" w:hAnsi="Arial"/>
          <w:color w:val="1F1E1E"/>
          <w:sz w:val="22"/>
          <w:szCs w:val="22"/>
        </w:rPr>
        <w:t xml:space="preserve">consistent with Rev. Rul. 78-248 and the IRS factor analysis in Rev. Rul. 2007-41.</w:t>
      </w:r>
    </w:p>
    <w:p>
      <w:pPr>
        <w:keepNext/>
        <w:spacing w:after="160" w:before="360"/>
      </w:pPr>
      <w:r>
        <w:rPr>
          <w:rFonts w:ascii="Arial" w:cs="Arial" w:eastAsia="Arial" w:hAnsi="Arial"/>
          <w:b/>
          <w:bCs/>
          <w:color w:val="561217"/>
          <w:sz w:val="26"/>
          <w:szCs w:val="26"/>
        </w:rPr>
        <w:t xml:space="preserve">Restricted Activities</w:t>
      </w:r>
    </w:p>
    <w:p>
      <w:pPr>
        <w:pStyle w:val="ListParagraph"/>
        <w:numPr>
          <w:ilvl w:val="0"/>
          <w:numId w:val="2"/>
        </w:numPr>
        <w:spacing w:after="40" w:before="40" w:line="300"/>
      </w:pPr>
      <w:r>
        <w:rPr>
          <w:rFonts w:ascii="Arial" w:cs="Arial" w:eastAsia="Arial" w:hAnsi="Arial"/>
          <w:color w:val="1F1E1E"/>
          <w:sz w:val="22"/>
          <w:szCs w:val="22"/>
        </w:rPr>
        <w:t xml:space="preserve">Directly contacting legislators to advocate for or against specific legislation without board authorization</w:t>
      </w:r>
    </w:p>
    <w:p>
      <w:pPr>
        <w:pStyle w:val="ListParagraph"/>
        <w:numPr>
          <w:ilvl w:val="0"/>
          <w:numId w:val="2"/>
        </w:numPr>
        <w:spacing w:after="40" w:before="40" w:line="300"/>
      </w:pPr>
      <w:r>
        <w:rPr>
          <w:rFonts w:ascii="Arial" w:cs="Arial" w:eastAsia="Arial" w:hAnsi="Arial"/>
          <w:color w:val="1F1E1E"/>
          <w:sz w:val="22"/>
          <w:szCs w:val="22"/>
        </w:rPr>
        <w:t xml:space="preserve">Organizing campaigns urging the public to contact legislators about specific bills</w:t>
      </w:r>
    </w:p>
    <w:p>
      <w:pPr>
        <w:keepNext/>
        <w:spacing w:after="160" w:before="360"/>
      </w:pPr>
      <w:r>
        <w:rPr>
          <w:rFonts w:ascii="Arial" w:cs="Arial" w:eastAsia="Arial" w:hAnsi="Arial"/>
          <w:b/>
          <w:bCs/>
          <w:color w:val="561217"/>
          <w:sz w:val="26"/>
          <w:szCs w:val="26"/>
        </w:rPr>
        <w:t xml:space="preserve">Individual Capacity</w:t>
      </w:r>
    </w:p>
    <w:p>
      <w:pPr>
        <w:spacing w:after="120" w:before="60" w:line="320"/>
        <w:jc w:val="both"/>
      </w:pPr>
      <w:r>
        <w:rPr>
          <w:rFonts w:ascii="Arial" w:cs="Arial" w:eastAsia="Arial" w:hAnsi="Arial"/>
          <w:color w:val="1F1E1E"/>
          <w:sz w:val="22"/>
          <w:szCs w:val="22"/>
        </w:rPr>
        <w:t xml:space="preserve">This Policy regulates Foundation activities and the conduct of personnel acting in their Foundation role. Directors, officers, employees, and volunteers remain free to engage in personal political activity (including campaign endorsements, contributions, and partisan speech) in their individual capacity, provided that:</w:t>
      </w:r>
    </w:p>
    <w:p>
      <w:pPr>
        <w:spacing w:after="120" w:before="60" w:line="320"/>
        <w:jc w:val="both"/>
      </w:pPr>
      <w:r>
        <w:rPr>
          <w:rFonts w:ascii="Arial" w:cs="Arial" w:eastAsia="Arial" w:hAnsi="Arial"/>
          <w:color w:val="1F1E1E"/>
          <w:sz w:val="22"/>
          <w:szCs w:val="22"/>
        </w:rPr>
        <w:t xml:space="preserve">(a) Foundation resources (funds, facilities, equipment, lists, branded accounts) are not used; (b) Foundation titles are not invoked in a manner that implies organizational endorsement; (c) when speaking publicly on political matters, the individual states that views are personal and not those of the Foundation.</w:t>
      </w:r>
    </w:p>
    <w:p>
      <w:pPr>
        <w:spacing w:after="120" w:before="60" w:line="320"/>
        <w:jc w:val="both"/>
      </w:pPr>
      <w:r>
        <w:rPr>
          <w:rFonts w:ascii="Arial" w:cs="Arial" w:eastAsia="Arial" w:hAnsi="Arial"/>
          <w:color w:val="1F1E1E"/>
          <w:sz w:val="22"/>
          <w:szCs w:val="22"/>
        </w:rPr>
        <w:t xml:space="preserve">Compensated executive staff communicating publicly on matters of public policy should consult the Executive Director before significant statements to assess attribution risk.</w:t>
      </w:r>
    </w:p>
    <w:p>
      <w:pPr>
        <w:keepNext/>
        <w:spacing w:after="160" w:before="360"/>
      </w:pPr>
      <w:r>
        <w:rPr>
          <w:rFonts w:ascii="Arial" w:cs="Arial" w:eastAsia="Arial" w:hAnsi="Arial"/>
          <w:b/>
          <w:bCs/>
          <w:color w:val="561217"/>
          <w:sz w:val="26"/>
          <w:szCs w:val="26"/>
        </w:rPr>
        <w:t xml:space="preserve">Expenditure Limits Under the § 501(h) Election</w:t>
      </w:r>
    </w:p>
    <w:p>
      <w:pPr>
        <w:spacing w:after="120" w:before="60" w:line="320"/>
        <w:jc w:val="both"/>
      </w:pPr>
      <w:r>
        <w:rPr>
          <w:rFonts w:ascii="Arial" w:cs="Arial" w:eastAsia="Arial" w:hAnsi="Arial"/>
          <w:color w:val="1F1E1E"/>
          <w:sz w:val="22"/>
          <w:szCs w:val="22"/>
        </w:rPr>
        <w:t xml:space="preserve">If Holon Foundation has made the § 501(h) election (Form 5768), its lobbying expenditures are subject to a sliding-scale "</w:t>
      </w:r>
      <w:r>
        <w:rPr>
          <w:rFonts w:ascii="Arial" w:cs="Arial" w:eastAsia="Arial" w:hAnsi="Arial"/>
          <w:b/>
          <w:bCs/>
          <w:color w:val="1F1E1E"/>
          <w:sz w:val="22"/>
          <w:szCs w:val="22"/>
        </w:rPr>
        <w:t xml:space="preserve">lobbying nontaxable amount</w:t>
      </w:r>
      <w:r>
        <w:rPr>
          <w:rFonts w:ascii="Arial" w:cs="Arial" w:eastAsia="Arial" w:hAnsi="Arial"/>
          <w:color w:val="1F1E1E"/>
          <w:sz w:val="22"/>
          <w:szCs w:val="22"/>
        </w:rPr>
        <w:t xml:space="preserve">" computed under IRC § 4911(c)(2) as the lesser of $1,000,000 or the sum of:</w:t>
      </w:r>
    </w:p>
    <w:p>
      <w:pPr>
        <w:spacing w:after="120" w:before="60" w:line="320"/>
        <w:jc w:val="both"/>
      </w:pPr>
      <w:r>
        <w:rPr>
          <w:rFonts w:ascii="Arial" w:cs="Arial" w:eastAsia="Arial" w:hAnsi="Arial"/>
          <w:color w:val="1F1E1E"/>
          <w:sz w:val="22"/>
          <w:szCs w:val="22"/>
        </w:rPr>
        <w:t xml:space="preserve">(a) 20% of the first $500,000 of exempt-purpose expenditures; (b) 15% of the next $500,000; (c) 10% of the next $500,000; and (d) 5% of any additional exempt-purpose expenditures.</w:t>
      </w:r>
    </w:p>
    <w:p>
      <w:pPr>
        <w:spacing w:after="120" w:before="60" w:line="320"/>
        <w:jc w:val="both"/>
      </w:pPr>
      <w:r>
        <w:rPr>
          <w:rFonts w:ascii="Arial" w:cs="Arial" w:eastAsia="Arial" w:hAnsi="Arial"/>
          <w:color w:val="1F1E1E"/>
          <w:sz w:val="22"/>
          <w:szCs w:val="22"/>
        </w:rPr>
        <w:t xml:space="preserve">The "</w:t>
      </w:r>
      <w:r>
        <w:rPr>
          <w:rFonts w:ascii="Arial" w:cs="Arial" w:eastAsia="Arial" w:hAnsi="Arial"/>
          <w:b/>
          <w:bCs/>
          <w:color w:val="1F1E1E"/>
          <w:sz w:val="22"/>
          <w:szCs w:val="22"/>
        </w:rPr>
        <w:t xml:space="preserve">grassroots nontaxable amount</w:t>
      </w:r>
      <w:r>
        <w:rPr>
          <w:rFonts w:ascii="Arial" w:cs="Arial" w:eastAsia="Arial" w:hAnsi="Arial"/>
          <w:color w:val="1F1E1E"/>
          <w:sz w:val="22"/>
          <w:szCs w:val="22"/>
        </w:rPr>
        <w:t xml:space="preserve">" is 25% of the lobbying nontaxable amount (IRC § 4911(c)(4)).</w:t>
      </w:r>
    </w:p>
    <w:p>
      <w:pPr>
        <w:spacing w:after="120" w:before="60" w:line="320"/>
        <w:jc w:val="both"/>
      </w:pPr>
      <w:r>
        <w:rPr>
          <w:rFonts w:ascii="Arial" w:cs="Arial" w:eastAsia="Arial" w:hAnsi="Arial"/>
          <w:color w:val="1F1E1E"/>
          <w:sz w:val="22"/>
          <w:szCs w:val="22"/>
        </w:rPr>
        <w:t xml:space="preserve">Exceeding either limit by less than 50% in any year triggers a 25% excise tax on the excess under IRC § 4911(a); exceeding by more than 150% over a four-year rolling average triggers loss of exempt status under IRC § 501(h)(3).</w:t>
      </w:r>
    </w:p>
    <w:p>
      <w:pPr>
        <w:spacing w:after="120" w:before="60" w:line="320"/>
        <w:jc w:val="both"/>
      </w:pPr>
      <w:r>
        <w:rPr>
          <w:rFonts w:ascii="Arial" w:cs="Arial" w:eastAsia="Arial" w:hAnsi="Arial"/>
          <w:color w:val="1F1E1E"/>
          <w:sz w:val="22"/>
          <w:szCs w:val="22"/>
        </w:rPr>
        <w:t xml:space="preserve">If the § 501(h) election has not been made, the "substantial part" test of IRC § 501(c)(3) applies, with no bright-line safe harbor; the IRS evaluates lobbying as a percentage of overall activities including time and resources, generally with 5% or less considered unlikely to be substantial.</w:t>
      </w:r>
    </w:p>
    <w:p>
      <w:pPr>
        <w:keepNext/>
        <w:spacing w:after="160" w:before="360"/>
      </w:pPr>
      <w:r>
        <w:rPr>
          <w:rFonts w:ascii="Arial" w:cs="Arial" w:eastAsia="Arial" w:hAnsi="Arial"/>
          <w:b/>
          <w:bCs/>
          <w:color w:val="561217"/>
          <w:sz w:val="26"/>
          <w:szCs w:val="26"/>
        </w:rPr>
        <w:t xml:space="preserve">Texas State Lobbying Registration</w:t>
      </w:r>
    </w:p>
    <w:p>
      <w:pPr>
        <w:spacing w:after="120" w:before="60" w:line="320"/>
        <w:jc w:val="both"/>
      </w:pPr>
      <w:r>
        <w:rPr>
          <w:rFonts w:ascii="Arial" w:cs="Arial" w:eastAsia="Arial" w:hAnsi="Arial"/>
          <w:color w:val="1F1E1E"/>
          <w:sz w:val="22"/>
          <w:szCs w:val="22"/>
        </w:rPr>
        <w:t xml:space="preserve">Any director, officer, employee, or contractor of the Foundation who communicates directly with a member of the Texas Legislature or executive-branch agency rule-maker for the purpose of influencing legislation or administrative action shall, before undertaking such communication, confirm with the Executive Director whether:</w:t>
      </w:r>
    </w:p>
    <w:p>
      <w:pPr>
        <w:spacing w:after="120" w:before="60" w:line="320"/>
        <w:jc w:val="both"/>
      </w:pPr>
      <w:r>
        <w:rPr>
          <w:rFonts w:ascii="Arial" w:cs="Arial" w:eastAsia="Arial" w:hAnsi="Arial"/>
          <w:color w:val="1F1E1E"/>
          <w:sz w:val="22"/>
          <w:szCs w:val="22"/>
        </w:rPr>
        <w:t xml:space="preserve">(a) the activity exceeds the de minimis threshold under Texas Government Code Ch. 305;</w:t>
      </w:r>
    </w:p>
    <w:p>
      <w:pPr>
        <w:spacing w:after="120" w:before="60" w:line="320"/>
        <w:jc w:val="both"/>
      </w:pPr>
      <w:r>
        <w:rPr>
          <w:rFonts w:ascii="Arial" w:cs="Arial" w:eastAsia="Arial" w:hAnsi="Arial"/>
          <w:color w:val="1F1E1E"/>
          <w:sz w:val="22"/>
          <w:szCs w:val="22"/>
        </w:rPr>
        <w:t xml:space="preserve">(b) the individual receives compensation or reimbursement related to the lobbying; and</w:t>
      </w:r>
    </w:p>
    <w:p>
      <w:pPr>
        <w:spacing w:after="120" w:before="60" w:line="320"/>
        <w:jc w:val="both"/>
      </w:pPr>
      <w:r>
        <w:rPr>
          <w:rFonts w:ascii="Arial" w:cs="Arial" w:eastAsia="Arial" w:hAnsi="Arial"/>
          <w:color w:val="1F1E1E"/>
          <w:sz w:val="22"/>
          <w:szCs w:val="22"/>
        </w:rPr>
        <w:t xml:space="preserve">(c) registration with the Texas Ethics Commission is required.</w:t>
      </w:r>
    </w:p>
    <w:p>
      <w:pPr>
        <w:spacing w:after="120" w:before="60" w:line="320"/>
        <w:jc w:val="both"/>
      </w:pPr>
      <w:r>
        <w:rPr>
          <w:rFonts w:ascii="Arial" w:cs="Arial" w:eastAsia="Arial" w:hAnsi="Arial"/>
          <w:color w:val="1F1E1E"/>
          <w:sz w:val="22"/>
          <w:szCs w:val="22"/>
        </w:rPr>
        <w:t xml:space="preserve">The Foundation shall maintain a record of all individuals authorized to lobby on its behalf and shall ensure registrations are filed and renewed by January 5 of each registration year, per 1 TAC § 34.41.</w:t>
      </w:r>
    </w:p>
    <w:p>
      <w:pPr>
        <w:keepNext/>
        <w:spacing w:after="160" w:before="360"/>
      </w:pPr>
      <w:r>
        <w:rPr>
          <w:rFonts w:ascii="Arial" w:cs="Arial" w:eastAsia="Arial" w:hAnsi="Arial"/>
          <w:b/>
          <w:bCs/>
          <w:color w:val="561217"/>
          <w:sz w:val="26"/>
          <w:szCs w:val="26"/>
        </w:rPr>
        <w:t xml:space="preserve">Monitoring and Reporting</w:t>
      </w:r>
    </w:p>
    <w:p>
      <w:pPr>
        <w:pStyle w:val="ListParagraph"/>
        <w:numPr>
          <w:ilvl w:val="0"/>
          <w:numId w:val="2"/>
        </w:numPr>
        <w:spacing w:after="40" w:before="40" w:line="300"/>
      </w:pPr>
      <w:r>
        <w:rPr>
          <w:rFonts w:ascii="Arial" w:cs="Arial" w:eastAsia="Arial" w:hAnsi="Arial"/>
          <w:color w:val="1F1E1E"/>
          <w:sz w:val="22"/>
          <w:szCs w:val="22"/>
        </w:rPr>
        <w:t xml:space="preserve">All staff and board members report potential lobbying activities to the Executive Director before engaging.</w:t>
      </w:r>
    </w:p>
    <w:p>
      <w:pPr>
        <w:pStyle w:val="ListParagraph"/>
        <w:numPr>
          <w:ilvl w:val="0"/>
          <w:numId w:val="2"/>
        </w:numPr>
        <w:spacing w:after="40" w:before="40" w:line="300"/>
      </w:pPr>
      <w:r>
        <w:rPr>
          <w:rFonts w:ascii="Arial" w:cs="Arial" w:eastAsia="Arial" w:hAnsi="Arial"/>
          <w:color w:val="1F1E1E"/>
          <w:sz w:val="22"/>
          <w:szCs w:val="22"/>
        </w:rPr>
        <w:t xml:space="preserve">The Executive Director tracks lobbying expenditures and reports to the Finance Committee quarterly.</w:t>
      </w:r>
    </w:p>
    <w:p>
      <w:pPr>
        <w:pStyle w:val="ListParagraph"/>
        <w:numPr>
          <w:ilvl w:val="0"/>
          <w:numId w:val="2"/>
        </w:numPr>
        <w:spacing w:after="40" w:before="40" w:line="300"/>
      </w:pPr>
      <w:r>
        <w:rPr>
          <w:rFonts w:ascii="Arial" w:cs="Arial" w:eastAsia="Arial" w:hAnsi="Arial"/>
          <w:color w:val="1F1E1E"/>
          <w:sz w:val="22"/>
          <w:szCs w:val="22"/>
        </w:rPr>
        <w:t xml:space="preserve">Lobbying activities and expenditures are reported on Schedule C of Form 990.</w:t>
      </w:r>
    </w:p>
    <w:p>
      <w:pPr>
        <w:pStyle w:val="ListParagraph"/>
        <w:numPr>
          <w:ilvl w:val="0"/>
          <w:numId w:val="2"/>
        </w:numPr>
        <w:spacing w:after="40" w:before="40" w:line="300"/>
      </w:pPr>
      <w:r>
        <w:rPr>
          <w:rFonts w:ascii="Arial" w:cs="Arial" w:eastAsia="Arial" w:hAnsi="Arial"/>
          <w:color w:val="1F1E1E"/>
          <w:sz w:val="22"/>
          <w:szCs w:val="22"/>
        </w:rPr>
        <w:t xml:space="preserve">The Governance Committee reviews this policy annually and recommends whether to make or maintain the 501(h) election.</w:t>
      </w:r>
    </w:p>
    <w:p>
      <w:pPr>
        <w:keepNext/>
        <w:spacing w:after="120" w:before="240"/>
      </w:pPr>
      <w:r>
        <w:rPr>
          <w:rFonts w:ascii="Arial" w:cs="Arial" w:eastAsia="Arial" w:hAnsi="Arial"/>
          <w:b/>
          <w:bCs/>
          <w:color w:val="3B5937"/>
          <w:sz w:val="22"/>
          <w:szCs w:val="22"/>
        </w:rPr>
        <w:t xml:space="preserve">Lobbying Activity Register</w:t>
      </w:r>
    </w:p>
    <w:p>
      <w:pPr>
        <w:spacing w:after="120" w:before="60" w:line="320"/>
        <w:jc w:val="both"/>
      </w:pPr>
      <w:r>
        <w:rPr>
          <w:rFonts w:ascii="Arial" w:cs="Arial" w:eastAsia="Arial" w:hAnsi="Arial"/>
          <w:color w:val="1F1E1E"/>
          <w:sz w:val="22"/>
          <w:szCs w:val="22"/>
        </w:rPr>
        <w:t xml:space="preserve">The Executive Director shall maintain a Lobbying Activity Register capturing:</w:t>
      </w:r>
    </w:p>
    <w:p>
      <w:pPr>
        <w:spacing w:after="120" w:before="60" w:line="320"/>
        <w:jc w:val="both"/>
      </w:pPr>
      <w:r>
        <w:rPr>
          <w:rFonts w:ascii="Arial" w:cs="Arial" w:eastAsia="Arial" w:hAnsi="Arial"/>
          <w:color w:val="1F1E1E"/>
          <w:sz w:val="22"/>
          <w:szCs w:val="22"/>
        </w:rPr>
        <w:t xml:space="preserve">(a) staff and volunteer time spent on lobbying activities (logged at least monthly, segmented between direct and grassroots), valued at the individual's compensation rate plus benefits;</w:t>
      </w:r>
    </w:p>
    <w:p>
      <w:pPr>
        <w:spacing w:after="120" w:before="60" w:line="320"/>
        <w:jc w:val="both"/>
      </w:pPr>
      <w:r>
        <w:rPr>
          <w:rFonts w:ascii="Arial" w:cs="Arial" w:eastAsia="Arial" w:hAnsi="Arial"/>
          <w:color w:val="1F1E1E"/>
          <w:sz w:val="22"/>
          <w:szCs w:val="22"/>
        </w:rPr>
        <w:t xml:space="preserve">(b) direct lobbying expenditures (printing, travel, consulting);</w:t>
      </w:r>
    </w:p>
    <w:p>
      <w:pPr>
        <w:spacing w:after="120" w:before="60" w:line="320"/>
        <w:jc w:val="both"/>
      </w:pPr>
      <w:r>
        <w:rPr>
          <w:rFonts w:ascii="Arial" w:cs="Arial" w:eastAsia="Arial" w:hAnsi="Arial"/>
          <w:color w:val="1F1E1E"/>
          <w:sz w:val="22"/>
          <w:szCs w:val="22"/>
        </w:rPr>
        <w:t xml:space="preserve">(c) for the § 501(h) election, the running tally against the year's lobbying and grassroots nontaxable amounts.</w:t>
      </w:r>
    </w:p>
    <w:p>
      <w:pPr>
        <w:spacing w:after="120" w:before="60" w:line="320"/>
        <w:jc w:val="both"/>
      </w:pPr>
      <w:r>
        <w:rPr>
          <w:rFonts w:ascii="Arial" w:cs="Arial" w:eastAsia="Arial" w:hAnsi="Arial"/>
          <w:color w:val="1F1E1E"/>
          <w:sz w:val="22"/>
          <w:szCs w:val="22"/>
        </w:rPr>
        <w:t xml:space="preserve">The Treasurer shall review the Register quarterly and report status to the Finance Committee, with year-end totals provided to the tax preparer for Form 990 Schedule C completion.</w:t>
      </w:r>
    </w:p>
    <w:p>
      <w:pPr>
        <w:spacing w:after="120" w:before="60" w:line="320"/>
        <w:jc w:val="both"/>
      </w:pPr>
      <w:r>
        <w:rPr>
          <w:rFonts w:ascii="Arial" w:cs="Arial" w:eastAsia="Arial" w:hAnsi="Arial"/>
          <w:color w:val="1F1E1E"/>
          <w:sz w:val="22"/>
          <w:szCs w:val="22"/>
        </w:rPr>
        <w:t xml:space="preserve">If the running tally reaches 75% of either nontaxable amount, the Executive Director shall notify the Board and recommend whether to halt or limit lobbying activities for the remainder of the year.</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19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19  ·  LOBBYING AND ADVOCACY COMPLIANCE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Lobbying and Advocacy Compliance Policy</dc:title>
  <dc:creator>Holon Foundation</dc:creator>
  <dc:description>Holon Foundation — Policy No. 19</dc:description>
  <cp:lastModifiedBy>Un-named</cp:lastModifiedBy>
  <cp:revision>1</cp:revision>
  <dcterms:created xsi:type="dcterms:W3CDTF">2026-05-21T02:41:42.277Z</dcterms:created>
  <dcterms:modified xsi:type="dcterms:W3CDTF">2026-05-21T02:41:42.277Z</dcterms:modified>
</cp:coreProperties>
</file>

<file path=docProps/custom.xml><?xml version="1.0" encoding="utf-8"?>
<Properties xmlns="http://schemas.openxmlformats.org/officeDocument/2006/custom-properties" xmlns:vt="http://schemas.openxmlformats.org/officeDocument/2006/docPropsVTypes"/>
</file>