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3B5937" w:sz="18" w:space="1"/>
        </w:pBdr>
        <w:spacing w:after="0" w:before="0"/>
      </w:pPr>
      <w:r>
        <w:rPr>
          <w:sz w:val="2"/>
          <w:szCs w:val="2"/>
        </w:rPr>
        <w:t xml:space="preserve"/>
      </w:r>
    </w:p>
    <w:p>
      <w:pPr>
        <w:spacing w:after="80" w:before="80"/>
      </w:pPr>
      <w:r>
        <w:t xml:space="preserve"/>
      </w:r>
    </w:p>
    <w:p>
      <w:pPr>
        <w:spacing w:after="0" w:before="120"/>
        <w:jc w:val="center"/>
      </w:pPr>
      <w:r>
        <w:rPr>
          <w:rFonts w:ascii="Arial" w:cs="Arial" w:eastAsia="Arial" w:hAnsi="Arial"/>
          <w:b/>
          <w:bCs/>
          <w:color w:val="561217"/>
          <w:spacing w:val="40"/>
          <w:sz w:val="16"/>
          <w:szCs w:val="16"/>
        </w:rPr>
        <w:t xml:space="preserve">HOLON FOUNDATION · GOVERNANCE POLICY</w:t>
      </w:r>
    </w:p>
    <w:p>
      <w:pPr>
        <w:spacing w:after="200" w:before="40"/>
        <w:jc w:val="center"/>
      </w:pPr>
      <w:r>
        <w:rPr>
          <w:rFonts w:ascii="Arial" w:cs="Arial" w:eastAsia="Arial" w:hAnsi="Arial"/>
          <w:b/>
          <w:bCs/>
          <w:color w:val="3B5937"/>
          <w:sz w:val="22"/>
          <w:szCs w:val="22"/>
        </w:rPr>
        <w:t xml:space="preserve">No. 18</w:t>
      </w:r>
    </w:p>
    <w:p>
      <w:pPr>
        <w:spacing w:after="120" w:before="120"/>
      </w:pPr>
      <w:r>
        <w:t xml:space="preserve"/>
      </w:r>
    </w:p>
    <w:tbl>
      <w:tblPr>
        <w:tblW w:type="dxa" w:w="2835"/>
        <w:jc w:val="center"/>
        <w:tblBorders>
          <w:top w:val="none" w:color="FFFFFF" w:sz="0"/>
          <w:left w:val="none" w:color="FFFFFF" w:sz="0"/>
          <w:bottom w:val="none" w:color="FFFFFF" w:sz="0"/>
          <w:right w:val="none" w:color="FFFFFF" w:sz="0"/>
          <w:insideH w:val="none" w:color="FFFFFF" w:sz="0"/>
          <w:insideV w:val="none" w:color="FFFFFF" w:sz="0"/>
        </w:tblBorders>
      </w:tblPr>
      <w:tblGrid>
        <w:gridCol w:w="567"/>
        <w:gridCol w:w="567"/>
        <w:gridCol w:w="567"/>
        <w:gridCol w:w="567"/>
        <w:gridCol w:w="567"/>
      </w:tblGrid>
      <w:tr>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61217"/>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CF3E81"/>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00C0E9"/>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FFC95B"/>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DC7A4"/>
                <w:sz w:val="28"/>
                <w:szCs w:val="28"/>
              </w:rPr>
              <w:t xml:space="preserve">●</w:t>
            </w:r>
          </w:p>
        </w:tc>
      </w:tr>
    </w:tbl>
    <w:p>
      <w:pPr>
        <w:spacing w:after="180" w:before="180"/>
      </w:pPr>
      <w:r>
        <w:t xml:space="preserve"/>
      </w:r>
    </w:p>
    <w:p>
      <w:pPr>
        <w:spacing w:after="80" w:before="0"/>
        <w:jc w:val="center"/>
      </w:pPr>
      <w:r>
        <w:rPr>
          <w:rFonts w:ascii="Arial" w:cs="Arial" w:eastAsia="Arial" w:hAnsi="Arial"/>
          <w:b/>
          <w:bCs/>
          <w:color w:val="1F1E1E"/>
          <w:sz w:val="44"/>
          <w:szCs w:val="44"/>
        </w:rPr>
        <w:t xml:space="preserve">Environmental Impact Reporting Standards</w:t>
      </w:r>
    </w:p>
    <w:p>
      <w:pPr>
        <w:spacing w:after="0" w:before="0"/>
        <w:jc w:val="center"/>
      </w:pPr>
      <w:r>
        <w:rPr>
          <w:rFonts w:ascii="Arial" w:cs="Arial" w:eastAsia="Arial" w:hAnsi="Arial"/>
          <w:i/>
          <w:iCs/>
          <w:color w:val="4A4A4A"/>
          <w:sz w:val="20"/>
          <w:szCs w:val="20"/>
        </w:rPr>
        <w:t xml:space="preserve">Holon Foundation — Policy No. 18</w:t>
      </w:r>
    </w:p>
    <w:p>
      <w:pPr>
        <w:spacing w:after="240" w:before="240"/>
      </w:pPr>
      <w:r>
        <w:t xml:space="preserve"/>
      </w:r>
    </w:p>
    <w:tbl>
      <w:tblPr>
        <w:tblW w:type="dxa" w:w="7200"/>
        <w:jc w:val="center"/>
        <w:tblBorders>
          <w:top w:val="none" w:color="FFFFFF" w:sz="0"/>
          <w:left w:val="none" w:color="FFFFFF" w:sz="0"/>
          <w:bottom w:val="none" w:color="FFFFFF" w:sz="0"/>
          <w:right w:val="none" w:color="FFFFFF" w:sz="0"/>
          <w:insideH w:val="none" w:color="FFFFFF" w:sz="0"/>
          <w:insideV w:val="none" w:color="FFFFFF" w:sz="0"/>
        </w:tblBorders>
      </w:tblPr>
      <w:tblGrid>
        <w:gridCol w:w="2400"/>
        <w:gridCol w:w="2400"/>
        <w:gridCol w:w="2400"/>
      </w:tblGrid>
      <w:tr>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EFFECTIVE DATE</w:t>
            </w:r>
          </w:p>
          <w:p>
            <w:pPr>
              <w:spacing w:after="0" w:before="0"/>
              <w:jc w:val="center"/>
            </w:pPr>
            <w:r>
              <w:rPr>
                <w:rFonts w:ascii="Arial" w:cs="Arial" w:eastAsia="Arial" w:hAnsi="Arial"/>
                <w:color w:val="1F1E1E"/>
                <w:sz w:val="20"/>
                <w:szCs w:val="20"/>
              </w:rPr>
              <w:t xml:space="preserve">[INSERT]</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VERSION</w:t>
            </w:r>
          </w:p>
          <w:p>
            <w:pPr>
              <w:spacing w:after="0" w:before="0"/>
              <w:jc w:val="center"/>
            </w:pPr>
            <w:r>
              <w:rPr>
                <w:rFonts w:ascii="Arial" w:cs="Arial" w:eastAsia="Arial" w:hAnsi="Arial"/>
                <w:color w:val="1F1E1E"/>
                <w:sz w:val="20"/>
                <w:szCs w:val="20"/>
              </w:rPr>
              <w:t xml:space="preserve">2.0</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JURISDICTION</w:t>
            </w:r>
          </w:p>
          <w:p>
            <w:pPr>
              <w:spacing w:after="0" w:before="0"/>
              <w:jc w:val="center"/>
            </w:pPr>
            <w:r>
              <w:rPr>
                <w:rFonts w:ascii="Arial" w:cs="Arial" w:eastAsia="Arial" w:hAnsi="Arial"/>
                <w:color w:val="1F1E1E"/>
                <w:sz w:val="20"/>
                <w:szCs w:val="20"/>
              </w:rPr>
              <w:t xml:space="preserve">Texas / US Federal</w:t>
            </w:r>
          </w:p>
        </w:tc>
      </w:tr>
    </w:tbl>
    <w:p>
      <w:pPr>
        <w:spacing w:after="120" w:before="120"/>
      </w:pPr>
      <w:r>
        <w:t xml:space="preserve"/>
      </w:r>
    </w:p>
    <w:p>
      <w:pPr>
        <w:spacing w:after="0" w:before="0" w:line="300"/>
        <w:ind w:left="720" w:right="720"/>
        <w:jc w:val="center"/>
      </w:pPr>
      <w:r>
        <w:rPr>
          <w:rFonts w:ascii="Arial" w:cs="Arial" w:eastAsia="Arial" w:hAnsi="Arial"/>
          <w:i/>
          <w:iCs/>
          <w:color w:val="4A4A4A"/>
          <w:sz w:val="18"/>
          <w:szCs w:val="18"/>
        </w:rPr>
        <w:t xml:space="preserve">Adopted by the Board of Directors of Holon Foundation by Resolution No. [INSERT] on [INSERT DATE]. Scheduled for review no later than three (3) years from the effective date, or sooner upon material change in applicable law or organizational structure. Maintained by the Secretary of the Board.</w:t>
      </w:r>
    </w:p>
    <w:p>
      <w:pPr>
        <w:spacing w:after="240" w:before="240"/>
      </w:pPr>
      <w:r>
        <w:t xml:space="preserve"/>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spacing w:after="80" w:before="80"/>
      </w:pPr>
      <w:r>
        <w:t xml:space="preserve"/>
      </w:r>
    </w:p>
    <w:p>
      <w:pPr>
        <w:spacing w:after="0" w:before="200"/>
        <w:jc w:val="center"/>
      </w:pPr>
      <w:r>
        <w:rPr>
          <w:rFonts w:ascii="Arial" w:cs="Arial" w:eastAsia="Arial" w:hAnsi="Arial"/>
          <w:color w:val="4A4A4A"/>
          <w:sz w:val="16"/>
          <w:szCs w:val="16"/>
        </w:rPr>
        <w:t xml:space="preserve">Holon Foundation  ·  </w:t>
      </w:r>
      <w:r>
        <w:rPr>
          <w:rFonts w:ascii="Arial" w:cs="Arial" w:eastAsia="Arial" w:hAnsi="Arial"/>
          <w:i/>
          <w:iCs/>
          <w:color w:val="4A4A4A"/>
          <w:sz w:val="16"/>
          <w:szCs w:val="16"/>
        </w:rPr>
        <w:t xml:space="preserve">dba Holon Gardens</w:t>
      </w:r>
      <w:r>
        <w:rPr>
          <w:rFonts w:ascii="Arial" w:cs="Arial" w:eastAsia="Arial" w:hAnsi="Arial"/>
          <w:color w:val="4A4A4A"/>
          <w:sz w:val="16"/>
          <w:szCs w:val="16"/>
        </w:rPr>
        <w:t xml:space="preserve">  ·  EIN 99-0563228  ·  </w:t>
      </w:r>
      <w:r>
        <w:rPr>
          <w:rFonts w:ascii="Arial" w:cs="Arial" w:eastAsia="Arial" w:hAnsi="Arial"/>
          <w:color w:val="561217"/>
          <w:sz w:val="16"/>
          <w:szCs w:val="16"/>
        </w:rPr>
        <w:t xml:space="preserve">holonfoundation.org</w:t>
      </w:r>
    </w:p>
    <w:p>
      <w:pPr>
        <w:pageBreakBefore/>
      </w:pPr>
      <w:r>
        <w:t xml:space="preserve"/>
      </w:r>
    </w:p>
    <w:p>
      <w:pPr>
        <w:keepNext/>
        <w:spacing w:after="120" w:before="240"/>
      </w:pPr>
      <w:r>
        <w:rPr>
          <w:rFonts w:ascii="Arial" w:cs="Arial" w:eastAsia="Arial" w:hAnsi="Arial"/>
          <w:b/>
          <w:bCs/>
          <w:color w:val="3B5937"/>
          <w:sz w:val="22"/>
          <w:szCs w:val="22"/>
        </w:rPr>
        <w:t xml:space="preserve">Summary of Revisions</w:t>
      </w:r>
    </w:p>
    <w:p>
      <w:pPr>
        <w:pStyle w:val="ListParagraph"/>
        <w:numPr>
          <w:ilvl w:val="0"/>
          <w:numId w:val="2"/>
        </w:numPr>
        <w:spacing w:after="40" w:before="40" w:line="300"/>
      </w:pPr>
      <w:r>
        <w:rPr>
          <w:rFonts w:ascii="Arial" w:cs="Arial" w:eastAsia="Arial" w:hAnsi="Arial"/>
          <w:color w:val="1F1E1E"/>
          <w:sz w:val="22"/>
          <w:szCs w:val="22"/>
        </w:rPr>
        <w:t xml:space="preserve">Added Legal Foundation invoking FTC Guides for the Use of Environmental Marketing Claims (16 C.F.R. Part 260), FTC Act § 5, and Texas DTPA § 17.46, anchoring the substantiation standard in enforceable law.</w:t>
      </w:r>
    </w:p>
    <w:p>
      <w:pPr>
        <w:pStyle w:val="ListParagraph"/>
        <w:numPr>
          <w:ilvl w:val="0"/>
          <w:numId w:val="2"/>
        </w:numPr>
        <w:spacing w:after="40" w:before="40" w:line="300"/>
      </w:pPr>
      <w:r>
        <w:rPr>
          <w:rFonts w:ascii="Arial" w:cs="Arial" w:eastAsia="Arial" w:hAnsi="Arial"/>
          <w:color w:val="1F1E1E"/>
          <w:sz w:val="22"/>
          <w:szCs w:val="22"/>
        </w:rPr>
        <w:t xml:space="preserve">Added Materiality and Restatement procedure (20% / 1,000 gallons / 1 metric ton / 1 species thresholds) with corrected-disclosure, donor-notice, and changelog publication requirements.</w:t>
      </w:r>
    </w:p>
    <w:p>
      <w:pPr>
        <w:pStyle w:val="ListParagraph"/>
        <w:numPr>
          <w:ilvl w:val="0"/>
          <w:numId w:val="2"/>
        </w:numPr>
        <w:spacing w:after="40" w:before="40" w:line="300"/>
      </w:pPr>
      <w:r>
        <w:rPr>
          <w:rFonts w:ascii="Arial" w:cs="Arial" w:eastAsia="Arial" w:hAnsi="Arial"/>
          <w:color w:val="1F1E1E"/>
          <w:sz w:val="22"/>
          <w:szCs w:val="22"/>
        </w:rPr>
        <w:t xml:space="preserve">Added Methodology Source Citation requirements (source, version, year, DOI/URL, frozen archival copy) with semantic versioning of methodology changes.</w:t>
      </w:r>
    </w:p>
    <w:p>
      <w:pPr>
        <w:pStyle w:val="ListParagraph"/>
        <w:numPr>
          <w:ilvl w:val="0"/>
          <w:numId w:val="2"/>
        </w:numPr>
        <w:spacing w:after="40" w:before="40" w:line="300"/>
      </w:pPr>
      <w:r>
        <w:rPr>
          <w:rFonts w:ascii="Arial" w:cs="Arial" w:eastAsia="Arial" w:hAnsi="Arial"/>
          <w:color w:val="1F1E1E"/>
          <w:sz w:val="22"/>
          <w:szCs w:val="22"/>
        </w:rPr>
        <w:t xml:space="preserve">Added Data Freshness rule (12 months for water/carbon/economic, 24 months for biodiversity) with stale-data labeling.</w:t>
      </w:r>
    </w:p>
    <w:p>
      <w:pPr>
        <w:pStyle w:val="ListParagraph"/>
        <w:numPr>
          <w:ilvl w:val="0"/>
          <w:numId w:val="2"/>
        </w:numPr>
        <w:spacing w:after="40" w:before="40" w:line="300"/>
      </w:pPr>
      <w:r>
        <w:rPr>
          <w:rFonts w:ascii="Arial" w:cs="Arial" w:eastAsia="Arial" w:hAnsi="Arial"/>
          <w:color w:val="1F1E1E"/>
          <w:sz w:val="22"/>
          <w:szCs w:val="22"/>
        </w:rPr>
        <w:t xml:space="preserve">Added Out-of-Zone fallback and Baseline Recalibration cadence (5-year minimum or upon authoritative new data).</w:t>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keepNext/>
        <w:spacing w:after="160" w:before="360"/>
      </w:pPr>
      <w:r>
        <w:rPr>
          <w:rFonts w:ascii="Arial" w:cs="Arial" w:eastAsia="Arial" w:hAnsi="Arial"/>
          <w:b/>
          <w:bCs/>
          <w:color w:val="561217"/>
          <w:sz w:val="26"/>
          <w:szCs w:val="26"/>
        </w:rPr>
        <w:t xml:space="preserve">Purpose</w:t>
      </w:r>
    </w:p>
    <w:p>
      <w:pPr>
        <w:spacing w:after="120" w:before="60" w:line="320"/>
        <w:jc w:val="both"/>
      </w:pPr>
      <w:r>
        <w:rPr>
          <w:rFonts w:ascii="Arial" w:cs="Arial" w:eastAsia="Arial" w:hAnsi="Arial"/>
          <w:color w:val="1F1E1E"/>
          <w:sz w:val="22"/>
          <w:szCs w:val="22"/>
        </w:rPr>
        <w:t xml:space="preserve">This document establishes standardized methodology and reporting practices for Holon Foundation's environmental impact claims. It ensures that all impact metrics reported to donors, regulators, and the public are accurate, verifiable, and scientifically grounded.</w:t>
      </w:r>
    </w:p>
    <w:p>
      <w:pPr>
        <w:keepNext/>
        <w:spacing w:after="160" w:before="360"/>
      </w:pPr>
      <w:r>
        <w:rPr>
          <w:rFonts w:ascii="Arial" w:cs="Arial" w:eastAsia="Arial" w:hAnsi="Arial"/>
          <w:b/>
          <w:bCs/>
          <w:color w:val="561217"/>
          <w:sz w:val="26"/>
          <w:szCs w:val="26"/>
        </w:rPr>
        <w:t xml:space="preserve">Legal Foundation</w:t>
      </w:r>
    </w:p>
    <w:p>
      <w:pPr>
        <w:spacing w:after="120" w:before="60" w:line="320"/>
        <w:jc w:val="both"/>
      </w:pPr>
      <w:r>
        <w:rPr>
          <w:rFonts w:ascii="Arial" w:cs="Arial" w:eastAsia="Arial" w:hAnsi="Arial"/>
          <w:color w:val="1F1E1E"/>
          <w:sz w:val="22"/>
          <w:szCs w:val="22"/>
        </w:rPr>
        <w:t xml:space="preserve">This methodology is adopted in compliance with:</w:t>
      </w:r>
    </w:p>
    <w:p>
      <w:pPr>
        <w:spacing w:after="120" w:before="60" w:line="320"/>
        <w:jc w:val="both"/>
      </w:pPr>
      <w:r>
        <w:rPr>
          <w:rFonts w:ascii="Arial" w:cs="Arial" w:eastAsia="Arial" w:hAnsi="Arial"/>
          <w:color w:val="1F1E1E"/>
          <w:sz w:val="22"/>
          <w:szCs w:val="22"/>
        </w:rPr>
        <w:t xml:space="preserve">(a) the Federal Trade Commission Guides for the Use of Environmental Marketing Claims, 16 C.F.R. Part 260, which prohibit deceptive environmental claims and require substantiation for general benefit, carbon offset, recycled content, and similar claims;</w:t>
      </w:r>
    </w:p>
    <w:p>
      <w:pPr>
        <w:spacing w:after="120" w:before="60" w:line="320"/>
        <w:jc w:val="both"/>
      </w:pPr>
      <w:r>
        <w:rPr>
          <w:rFonts w:ascii="Arial" w:cs="Arial" w:eastAsia="Arial" w:hAnsi="Arial"/>
          <w:color w:val="1F1E1E"/>
          <w:sz w:val="22"/>
          <w:szCs w:val="22"/>
        </w:rPr>
        <w:t xml:space="preserve">(b) the Federal Trade Commission Act § 5 (15 U.S.C. § 45) prohibition on deceptive practices;</w:t>
      </w:r>
    </w:p>
    <w:p>
      <w:pPr>
        <w:spacing w:after="120" w:before="60" w:line="320"/>
        <w:jc w:val="both"/>
      </w:pPr>
      <w:r>
        <w:rPr>
          <w:rFonts w:ascii="Arial" w:cs="Arial" w:eastAsia="Arial" w:hAnsi="Arial"/>
          <w:color w:val="1F1E1E"/>
          <w:sz w:val="22"/>
          <w:szCs w:val="22"/>
        </w:rPr>
        <w:t xml:space="preserve">(c) the Texas Deceptive Trade Practices-Consumer Protection Act, Bus. &amp; Com. Code § 17.46, applicable to charitable solicitations.</w:t>
      </w:r>
    </w:p>
    <w:p>
      <w:pPr>
        <w:spacing w:after="120" w:before="60" w:line="320"/>
        <w:jc w:val="both"/>
      </w:pPr>
      <w:r>
        <w:rPr>
          <w:rFonts w:ascii="Arial" w:cs="Arial" w:eastAsia="Arial" w:hAnsi="Arial"/>
          <w:color w:val="1F1E1E"/>
          <w:sz w:val="22"/>
          <w:szCs w:val="22"/>
        </w:rPr>
        <w:t xml:space="preserve">All public-facing impact claims shall be substantiated by competent and reliable scientific evidence and shall not overstate the Foundation's contribution to environmental benefit, directly or by implication.</w:t>
      </w:r>
    </w:p>
    <w:p>
      <w:pPr>
        <w:keepNext/>
        <w:spacing w:after="160" w:before="360"/>
      </w:pPr>
      <w:r>
        <w:rPr>
          <w:rFonts w:ascii="Arial" w:cs="Arial" w:eastAsia="Arial" w:hAnsi="Arial"/>
          <w:b/>
          <w:bCs/>
          <w:color w:val="561217"/>
          <w:sz w:val="26"/>
          <w:szCs w:val="26"/>
        </w:rPr>
        <w:t xml:space="preserve">Core Principles</w:t>
      </w:r>
    </w:p>
    <w:p>
      <w:pPr>
        <w:pStyle w:val="ListParagraph"/>
        <w:numPr>
          <w:ilvl w:val="0"/>
          <w:numId w:val="2"/>
        </w:numPr>
        <w:spacing w:after="40" w:before="40" w:line="300"/>
      </w:pPr>
      <w:r>
        <w:rPr>
          <w:rFonts w:ascii="Arial" w:cs="Arial" w:eastAsia="Arial" w:hAnsi="Arial"/>
          <w:b/>
          <w:bCs/>
          <w:color w:val="1F1E1E"/>
          <w:sz w:val="22"/>
          <w:szCs w:val="22"/>
        </w:rPr>
        <w:t xml:space="preserve">Accuracy.</w:t>
      </w:r>
      <w:r>
        <w:rPr>
          <w:rFonts w:ascii="Arial" w:cs="Arial" w:eastAsia="Arial" w:hAnsi="Arial"/>
          <w:color w:val="1F1E1E"/>
          <w:sz w:val="22"/>
          <w:szCs w:val="22"/>
        </w:rPr>
        <w:t xml:space="preserve"> All impact claims are based on peer-reviewed science, established estimation models, or direct measurement.</w:t>
      </w:r>
    </w:p>
    <w:p>
      <w:pPr>
        <w:pStyle w:val="ListParagraph"/>
        <w:numPr>
          <w:ilvl w:val="0"/>
          <w:numId w:val="2"/>
        </w:numPr>
        <w:spacing w:after="40" w:before="40" w:line="300"/>
      </w:pPr>
      <w:r>
        <w:rPr>
          <w:rFonts w:ascii="Arial" w:cs="Arial" w:eastAsia="Arial" w:hAnsi="Arial"/>
          <w:b/>
          <w:bCs/>
          <w:color w:val="1F1E1E"/>
          <w:sz w:val="22"/>
          <w:szCs w:val="22"/>
        </w:rPr>
        <w:t xml:space="preserve">Transparency.</w:t>
      </w:r>
      <w:r>
        <w:rPr>
          <w:rFonts w:ascii="Arial" w:cs="Arial" w:eastAsia="Arial" w:hAnsi="Arial"/>
          <w:color w:val="1F1E1E"/>
          <w:sz w:val="22"/>
          <w:szCs w:val="22"/>
        </w:rPr>
        <w:t xml:space="preserve"> Methodologies, assumptions, and data sources are publicly available and clearly documented.</w:t>
      </w:r>
    </w:p>
    <w:p>
      <w:pPr>
        <w:pStyle w:val="ListParagraph"/>
        <w:numPr>
          <w:ilvl w:val="0"/>
          <w:numId w:val="2"/>
        </w:numPr>
        <w:spacing w:after="40" w:before="40" w:line="300"/>
      </w:pPr>
      <w:r>
        <w:rPr>
          <w:rFonts w:ascii="Arial" w:cs="Arial" w:eastAsia="Arial" w:hAnsi="Arial"/>
          <w:b/>
          <w:bCs/>
          <w:color w:val="1F1E1E"/>
          <w:sz w:val="22"/>
          <w:szCs w:val="22"/>
        </w:rPr>
        <w:t xml:space="preserve">Conservatism.</w:t>
      </w:r>
      <w:r>
        <w:rPr>
          <w:rFonts w:ascii="Arial" w:cs="Arial" w:eastAsia="Arial" w:hAnsi="Arial"/>
          <w:color w:val="1F1E1E"/>
          <w:sz w:val="22"/>
          <w:szCs w:val="22"/>
        </w:rPr>
        <w:t xml:space="preserve"> When estimation ranges exist, we report conservative (lower-bound) estimates to avoid overstating impact.</w:t>
      </w:r>
    </w:p>
    <w:p>
      <w:pPr>
        <w:pStyle w:val="ListParagraph"/>
        <w:numPr>
          <w:ilvl w:val="0"/>
          <w:numId w:val="2"/>
        </w:numPr>
        <w:spacing w:after="40" w:before="40" w:line="300"/>
      </w:pPr>
      <w:r>
        <w:rPr>
          <w:rFonts w:ascii="Arial" w:cs="Arial" w:eastAsia="Arial" w:hAnsi="Arial"/>
          <w:b/>
          <w:bCs/>
          <w:color w:val="1F1E1E"/>
          <w:sz w:val="22"/>
          <w:szCs w:val="22"/>
        </w:rPr>
        <w:t xml:space="preserve">Verifiability.</w:t>
      </w:r>
      <w:r>
        <w:rPr>
          <w:rFonts w:ascii="Arial" w:cs="Arial" w:eastAsia="Arial" w:hAnsi="Arial"/>
          <w:color w:val="1F1E1E"/>
          <w:sz w:val="22"/>
          <w:szCs w:val="22"/>
        </w:rPr>
        <w:t xml:space="preserve"> Impact claims can be independently verified through the Trust Portal's peer verification system and professional verifiers.</w:t>
      </w:r>
    </w:p>
    <w:p>
      <w:pPr>
        <w:pStyle w:val="ListParagraph"/>
        <w:numPr>
          <w:ilvl w:val="0"/>
          <w:numId w:val="2"/>
        </w:numPr>
        <w:spacing w:after="40" w:before="40" w:line="300"/>
      </w:pPr>
      <w:r>
        <w:rPr>
          <w:rFonts w:ascii="Arial" w:cs="Arial" w:eastAsia="Arial" w:hAnsi="Arial"/>
          <w:b/>
          <w:bCs/>
          <w:color w:val="1F1E1E"/>
          <w:sz w:val="22"/>
          <w:szCs w:val="22"/>
        </w:rPr>
        <w:t xml:space="preserve">Contextualization.</w:t>
      </w:r>
      <w:r>
        <w:rPr>
          <w:rFonts w:ascii="Arial" w:cs="Arial" w:eastAsia="Arial" w:hAnsi="Arial"/>
          <w:color w:val="1F1E1E"/>
          <w:sz w:val="22"/>
          <w:szCs w:val="22"/>
        </w:rPr>
        <w:t xml:space="preserve"> Impact metrics are presented in context, including geographic zone baselines, comparison benchmarks, and limitations.</w:t>
      </w:r>
    </w:p>
    <w:p>
      <w:pPr>
        <w:keepNext/>
        <w:spacing w:after="160" w:before="360"/>
      </w:pPr>
      <w:r>
        <w:rPr>
          <w:rFonts w:ascii="Arial" w:cs="Arial" w:eastAsia="Arial" w:hAnsi="Arial"/>
          <w:b/>
          <w:bCs/>
          <w:color w:val="561217"/>
          <w:sz w:val="26"/>
          <w:szCs w:val="26"/>
        </w:rPr>
        <w:t xml:space="preserve">Impact Dimensions</w:t>
      </w:r>
    </w:p>
    <w:p>
      <w:pPr>
        <w:spacing w:after="120" w:before="60" w:line="320"/>
        <w:jc w:val="both"/>
      </w:pPr>
      <w:r>
        <w:rPr>
          <w:rFonts w:ascii="Arial" w:cs="Arial" w:eastAsia="Arial" w:hAnsi="Arial"/>
          <w:color w:val="1F1E1E"/>
          <w:sz w:val="22"/>
          <w:szCs w:val="22"/>
        </w:rPr>
        <w:t xml:space="preserve">Holon Foundation reports impact across eight dimensions, each with defined metrics and estimation methodologies: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Dimension</w:t>
            </w:r>
          </w:p>
        </w:tc>
        <w:tc>
          <w:tcPr>
            <w:tcW w:type="dxa" w:w="312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Key Metrics</w:t>
            </w:r>
          </w:p>
        </w:tc>
        <w:tc>
          <w:tcPr>
            <w:tcW w:type="dxa" w:w="312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Methodology Source</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Water</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Gallons captured, stormwater banking, irrigation reduction</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EPA rainfall-runoff models adapted for garden scale</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Heat</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Temperature reduction, energy savings, surface cooling</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Urban heat island research; DOE energy models</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Carbon</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CO2 sequestered, emissions avoided, chemical reduction</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USDA carbon sequestration tables; EPA lawn equipment data</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Noise</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Peace minutes generated, households affected</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Acoustic ecology research; noise abatement studies</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Biodiversity</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Species count, diversity index, pollinator support</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Shannon diversity index; native plant databases</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Economic</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Water bill savings, property value impact, municipal savings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Regional utility rate analysis; hedonic pricing studies</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Social</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Community gravity, connectivity index, event participation</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Social capital research; network analysis</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Provenance</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Verification score, source diversity, data quality</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Holon Foundation credibility scoring algorithm</w:t>
            </w:r>
          </w:p>
        </w:tc>
      </w:tr>
    </w:tbl>
    <w:p>
      <w:pPr>
        <w:keepNext/>
        <w:spacing w:after="120" w:before="240"/>
      </w:pPr>
      <w:r>
        <w:rPr>
          <w:rFonts w:ascii="Arial" w:cs="Arial" w:eastAsia="Arial" w:hAnsi="Arial"/>
          <w:b/>
          <w:bCs/>
          <w:color w:val="3B5937"/>
          <w:sz w:val="22"/>
          <w:szCs w:val="22"/>
        </w:rPr>
        <w:t xml:space="preserve">Methodology Source Citation</w:t>
      </w:r>
    </w:p>
    <w:p>
      <w:pPr>
        <w:spacing w:after="120" w:before="60" w:line="320"/>
        <w:jc w:val="both"/>
      </w:pPr>
      <w:r>
        <w:rPr>
          <w:rFonts w:ascii="Arial" w:cs="Arial" w:eastAsia="Arial" w:hAnsi="Arial"/>
          <w:color w:val="1F1E1E"/>
          <w:sz w:val="22"/>
          <w:szCs w:val="22"/>
        </w:rPr>
        <w:t xml:space="preserve">Each impact dimension shall cite its underlying methodology by source, version, year, and (where applicable) DOI or stable URL. The Foundation shall retain a frozen archival copy of each cited source at the time of adoption, accessible under Holon Foundation Policy No. 06 (Document Retention and Destruction Policy). When a cited source is updated, the Foundation shall:</w:t>
      </w:r>
    </w:p>
    <w:p>
      <w:pPr>
        <w:spacing w:after="120" w:before="60" w:line="320"/>
        <w:jc w:val="both"/>
      </w:pPr>
      <w:r>
        <w:rPr>
          <w:rFonts w:ascii="Arial" w:cs="Arial" w:eastAsia="Arial" w:hAnsi="Arial"/>
          <w:color w:val="1F1E1E"/>
          <w:sz w:val="22"/>
          <w:szCs w:val="22"/>
        </w:rPr>
        <w:t xml:space="preserve">(i) review whether the update materially affects current calculations;</w:t>
      </w:r>
    </w:p>
    <w:p>
      <w:pPr>
        <w:spacing w:after="120" w:before="60" w:line="320"/>
        <w:jc w:val="both"/>
      </w:pPr>
      <w:r>
        <w:rPr>
          <w:rFonts w:ascii="Arial" w:cs="Arial" w:eastAsia="Arial" w:hAnsi="Arial"/>
          <w:color w:val="1F1E1E"/>
          <w:sz w:val="22"/>
          <w:szCs w:val="22"/>
        </w:rPr>
        <w:t xml:space="preserve">(ii) decide and document whether to adopt the new version prospectively (with a methodology version increment) or to retain the prior version for historical comparability; and</w:t>
      </w:r>
    </w:p>
    <w:p>
      <w:pPr>
        <w:spacing w:after="120" w:before="60" w:line="320"/>
        <w:jc w:val="both"/>
      </w:pPr>
      <w:r>
        <w:rPr>
          <w:rFonts w:ascii="Arial" w:cs="Arial" w:eastAsia="Arial" w:hAnsi="Arial"/>
          <w:color w:val="1F1E1E"/>
          <w:sz w:val="22"/>
          <w:szCs w:val="22"/>
        </w:rPr>
        <w:t xml:space="preserve">(iii) publish the decision in the methodology changelog within 30 days.</w:t>
      </w:r>
    </w:p>
    <w:p>
      <w:pPr>
        <w:keepNext/>
        <w:spacing w:after="160" w:before="360"/>
      </w:pPr>
      <w:r>
        <w:rPr>
          <w:rFonts w:ascii="Arial" w:cs="Arial" w:eastAsia="Arial" w:hAnsi="Arial"/>
          <w:b/>
          <w:bCs/>
          <w:color w:val="561217"/>
          <w:sz w:val="26"/>
          <w:szCs w:val="26"/>
        </w:rPr>
        <w:t xml:space="preserve">Zone-Contextual Baselines</w:t>
      </w:r>
    </w:p>
    <w:p>
      <w:pPr>
        <w:spacing w:after="120" w:before="60" w:line="320"/>
        <w:jc w:val="both"/>
      </w:pPr>
      <w:r>
        <w:rPr>
          <w:rFonts w:ascii="Arial" w:cs="Arial" w:eastAsia="Arial" w:hAnsi="Arial"/>
          <w:color w:val="1F1E1E"/>
          <w:sz w:val="22"/>
          <w:szCs w:val="22"/>
        </w:rPr>
        <w:t xml:space="preserve">All impact calculations are adjusted for geographic context using Zone Baselines that account for local climate, rainfall patterns, soil types, and existing infrastructure. Current zones include: Central Texas, Gulf Coast Texas, North Texas, and Default. Additional zones will be developed as the Foundation expands geographically.</w:t>
      </w:r>
    </w:p>
    <w:p>
      <w:pPr>
        <w:keepNext/>
        <w:spacing w:after="120" w:before="240"/>
      </w:pPr>
      <w:r>
        <w:rPr>
          <w:rFonts w:ascii="Arial" w:cs="Arial" w:eastAsia="Arial" w:hAnsi="Arial"/>
          <w:b/>
          <w:bCs/>
          <w:color w:val="3B5937"/>
          <w:sz w:val="22"/>
          <w:szCs w:val="22"/>
        </w:rPr>
        <w:t xml:space="preserve">Out-of-Zone and Baseline Recalibration</w:t>
      </w:r>
    </w:p>
    <w:p>
      <w:pPr>
        <w:spacing w:after="120" w:before="60" w:line="320"/>
        <w:jc w:val="both"/>
      </w:pPr>
      <w:r>
        <w:rPr>
          <w:rFonts w:ascii="Arial" w:cs="Arial" w:eastAsia="Arial" w:hAnsi="Arial"/>
          <w:color w:val="1F1E1E"/>
          <w:sz w:val="22"/>
          <w:szCs w:val="22"/>
        </w:rPr>
        <w:t xml:space="preserve">For gardens located outside currently defined zones, the Foundation shall use the "Default" baseline conservatively, noting the limitation in any garden-specific impact report. Zone baselines shall be recalibrated at least every five (5) years, or sooner upon the release of authoritative new data from EPA, USDA, USGS, or relevant Texas state agencies. When a new zone is added, prior gardens in that geography shall be recategorized prospectively only, with historical data retained under the prior baseline for comparability.</w:t>
      </w:r>
    </w:p>
    <w:p>
      <w:pPr>
        <w:keepNext/>
        <w:spacing w:after="160" w:before="360"/>
      </w:pPr>
      <w:r>
        <w:rPr>
          <w:rFonts w:ascii="Arial" w:cs="Arial" w:eastAsia="Arial" w:hAnsi="Arial"/>
          <w:b/>
          <w:bCs/>
          <w:color w:val="561217"/>
          <w:sz w:val="26"/>
          <w:szCs w:val="26"/>
        </w:rPr>
        <w:t xml:space="preserve">Data Freshness</w:t>
      </w:r>
    </w:p>
    <w:p>
      <w:pPr>
        <w:spacing w:after="120" w:before="60" w:line="320"/>
        <w:jc w:val="both"/>
      </w:pPr>
      <w:r>
        <w:rPr>
          <w:rFonts w:ascii="Arial" w:cs="Arial" w:eastAsia="Arial" w:hAnsi="Arial"/>
          <w:color w:val="1F1E1E"/>
          <w:sz w:val="22"/>
          <w:szCs w:val="22"/>
        </w:rPr>
        <w:t xml:space="preserve">Impact metrics reported as "current" shall be based on observation, verification, or model inputs no older than:</w:t>
      </w:r>
    </w:p>
    <w:p>
      <w:pPr>
        <w:spacing w:after="120" w:before="60" w:line="320"/>
        <w:jc w:val="both"/>
      </w:pPr>
      <w:r>
        <w:rPr>
          <w:rFonts w:ascii="Arial" w:cs="Arial" w:eastAsia="Arial" w:hAnsi="Arial"/>
          <w:color w:val="1F1E1E"/>
          <w:sz w:val="22"/>
          <w:szCs w:val="22"/>
        </w:rPr>
        <w:t xml:space="preserve">(a) twelve (12) months for water, carbon, and economic metrics;</w:t>
      </w:r>
    </w:p>
    <w:p>
      <w:pPr>
        <w:spacing w:after="120" w:before="60" w:line="320"/>
        <w:jc w:val="both"/>
      </w:pPr>
      <w:r>
        <w:rPr>
          <w:rFonts w:ascii="Arial" w:cs="Arial" w:eastAsia="Arial" w:hAnsi="Arial"/>
          <w:color w:val="1F1E1E"/>
          <w:sz w:val="22"/>
          <w:szCs w:val="22"/>
        </w:rPr>
        <w:t xml:space="preserve">(b) twenty-four (24) months for biodiversity (species count, diversity index);</w:t>
      </w:r>
    </w:p>
    <w:p>
      <w:pPr>
        <w:spacing w:after="120" w:before="60" w:line="320"/>
        <w:jc w:val="both"/>
      </w:pPr>
      <w:r>
        <w:rPr>
          <w:rFonts w:ascii="Arial" w:cs="Arial" w:eastAsia="Arial" w:hAnsi="Arial"/>
          <w:color w:val="1F1E1E"/>
          <w:sz w:val="22"/>
          <w:szCs w:val="22"/>
        </w:rPr>
        <w:t xml:space="preserve">(c) the date of last verification for trust scoring.</w:t>
      </w:r>
    </w:p>
    <w:p>
      <w:pPr>
        <w:spacing w:after="120" w:before="60" w:line="320"/>
        <w:jc w:val="both"/>
      </w:pPr>
      <w:r>
        <w:rPr>
          <w:rFonts w:ascii="Arial" w:cs="Arial" w:eastAsia="Arial" w:hAnsi="Arial"/>
          <w:color w:val="1F1E1E"/>
          <w:sz w:val="22"/>
          <w:szCs w:val="22"/>
        </w:rPr>
        <w:t xml:space="preserve">Metrics published with stale data shall be labeled with the date of the underlying observation and the basis for continued reporting (e.g., "as of [DATE], pending Q3 2026 re-verification").</w:t>
      </w:r>
    </w:p>
    <w:p>
      <w:pPr>
        <w:keepNext/>
        <w:spacing w:after="160" w:before="360"/>
      </w:pPr>
      <w:r>
        <w:rPr>
          <w:rFonts w:ascii="Arial" w:cs="Arial" w:eastAsia="Arial" w:hAnsi="Arial"/>
          <w:b/>
          <w:bCs/>
          <w:color w:val="561217"/>
          <w:sz w:val="26"/>
          <w:szCs w:val="26"/>
        </w:rPr>
        <w:t xml:space="preserve">Reporting Requirements</w:t>
      </w:r>
    </w:p>
    <w:p>
      <w:pPr>
        <w:pStyle w:val="ListParagraph"/>
        <w:numPr>
          <w:ilvl w:val="0"/>
          <w:numId w:val="2"/>
        </w:numPr>
        <w:spacing w:after="40" w:before="40" w:line="300"/>
      </w:pPr>
      <w:r>
        <w:rPr>
          <w:rFonts w:ascii="Arial" w:cs="Arial" w:eastAsia="Arial" w:hAnsi="Arial"/>
          <w:b/>
          <w:bCs/>
          <w:color w:val="1F1E1E"/>
          <w:sz w:val="22"/>
          <w:szCs w:val="22"/>
        </w:rPr>
        <w:t xml:space="preserve">Annual Impact Report.</w:t>
      </w:r>
      <w:r>
        <w:rPr>
          <w:rFonts w:ascii="Arial" w:cs="Arial" w:eastAsia="Arial" w:hAnsi="Arial"/>
          <w:color w:val="1F1E1E"/>
          <w:sz w:val="22"/>
          <w:szCs w:val="22"/>
        </w:rPr>
        <w:t xml:space="preserve"> Comprehensive impact data across all dimensions, published on holonfoundation.org.</w:t>
      </w:r>
    </w:p>
    <w:p>
      <w:pPr>
        <w:pStyle w:val="ListParagraph"/>
        <w:numPr>
          <w:ilvl w:val="0"/>
          <w:numId w:val="2"/>
        </w:numPr>
        <w:spacing w:after="40" w:before="40" w:line="300"/>
      </w:pPr>
      <w:r>
        <w:rPr>
          <w:rFonts w:ascii="Arial" w:cs="Arial" w:eastAsia="Arial" w:hAnsi="Arial"/>
          <w:b/>
          <w:bCs/>
          <w:color w:val="1F1E1E"/>
          <w:sz w:val="22"/>
          <w:szCs w:val="22"/>
        </w:rPr>
        <w:t xml:space="preserve">Dashboard Metrics.</w:t>
      </w:r>
      <w:r>
        <w:rPr>
          <w:rFonts w:ascii="Arial" w:cs="Arial" w:eastAsia="Arial" w:hAnsi="Arial"/>
          <w:color w:val="1F1E1E"/>
          <w:sz w:val="22"/>
          <w:szCs w:val="22"/>
        </w:rPr>
        <w:t xml:space="preserve"> Real-time impact calculations displayed on the Trust Portal and Public Impact Dashboard.</w:t>
      </w:r>
    </w:p>
    <w:p>
      <w:pPr>
        <w:pStyle w:val="ListParagraph"/>
        <w:numPr>
          <w:ilvl w:val="0"/>
          <w:numId w:val="2"/>
        </w:numPr>
        <w:spacing w:after="40" w:before="40" w:line="300"/>
      </w:pPr>
      <w:r>
        <w:rPr>
          <w:rFonts w:ascii="Arial" w:cs="Arial" w:eastAsia="Arial" w:hAnsi="Arial"/>
          <w:b/>
          <w:bCs/>
          <w:color w:val="1F1E1E"/>
          <w:sz w:val="22"/>
          <w:szCs w:val="22"/>
        </w:rPr>
        <w:t xml:space="preserve">Donor Communications.</w:t>
      </w:r>
      <w:r>
        <w:rPr>
          <w:rFonts w:ascii="Arial" w:cs="Arial" w:eastAsia="Arial" w:hAnsi="Arial"/>
          <w:color w:val="1F1E1E"/>
          <w:sz w:val="22"/>
          <w:szCs w:val="22"/>
        </w:rPr>
        <w:t xml:space="preserve"> Impact claims in fundraising materials must reference this Standards document.</w:t>
      </w:r>
    </w:p>
    <w:p>
      <w:pPr>
        <w:pStyle w:val="ListParagraph"/>
        <w:numPr>
          <w:ilvl w:val="0"/>
          <w:numId w:val="2"/>
        </w:numPr>
        <w:spacing w:after="40" w:before="40" w:line="300"/>
      </w:pPr>
      <w:r>
        <w:rPr>
          <w:rFonts w:ascii="Arial" w:cs="Arial" w:eastAsia="Arial" w:hAnsi="Arial"/>
          <w:b/>
          <w:bCs/>
          <w:color w:val="1F1E1E"/>
          <w:sz w:val="22"/>
          <w:szCs w:val="22"/>
        </w:rPr>
        <w:t xml:space="preserve">Grant Reports.</w:t>
      </w:r>
      <w:r>
        <w:rPr>
          <w:rFonts w:ascii="Arial" w:cs="Arial" w:eastAsia="Arial" w:hAnsi="Arial"/>
          <w:color w:val="1F1E1E"/>
          <w:sz w:val="22"/>
          <w:szCs w:val="22"/>
        </w:rPr>
        <w:t xml:space="preserve"> Impact data in grant reports must align with this methodology.</w:t>
      </w:r>
    </w:p>
    <w:p>
      <w:pPr>
        <w:keepNext/>
        <w:spacing w:after="160" w:before="360"/>
      </w:pPr>
      <w:r>
        <w:rPr>
          <w:rFonts w:ascii="Arial" w:cs="Arial" w:eastAsia="Arial" w:hAnsi="Arial"/>
          <w:b/>
          <w:bCs/>
          <w:color w:val="561217"/>
          <w:sz w:val="26"/>
          <w:szCs w:val="26"/>
        </w:rPr>
        <w:t xml:space="preserve">Quality Assurance</w:t>
      </w:r>
    </w:p>
    <w:p>
      <w:pPr>
        <w:pStyle w:val="ListParagraph"/>
        <w:numPr>
          <w:ilvl w:val="0"/>
          <w:numId w:val="2"/>
        </w:numPr>
        <w:spacing w:after="40" w:before="40" w:line="300"/>
      </w:pPr>
      <w:r>
        <w:rPr>
          <w:rFonts w:ascii="Arial" w:cs="Arial" w:eastAsia="Arial" w:hAnsi="Arial"/>
          <w:color w:val="1F1E1E"/>
          <w:sz w:val="22"/>
          <w:szCs w:val="22"/>
        </w:rPr>
        <w:t xml:space="preserve">The Programs and Impact Committee reviews impact methodology annually.</w:t>
      </w:r>
    </w:p>
    <w:p>
      <w:pPr>
        <w:pStyle w:val="ListParagraph"/>
        <w:numPr>
          <w:ilvl w:val="0"/>
          <w:numId w:val="2"/>
        </w:numPr>
        <w:spacing w:after="40" w:before="40" w:line="300"/>
      </w:pPr>
      <w:r>
        <w:rPr>
          <w:rFonts w:ascii="Arial" w:cs="Arial" w:eastAsia="Arial" w:hAnsi="Arial"/>
          <w:color w:val="1F1E1E"/>
          <w:sz w:val="22"/>
          <w:szCs w:val="22"/>
        </w:rPr>
        <w:t xml:space="preserve">Professional verifiers audit a random sample of garden impact calculations quarterly.</w:t>
      </w:r>
    </w:p>
    <w:p>
      <w:pPr>
        <w:pStyle w:val="ListParagraph"/>
        <w:numPr>
          <w:ilvl w:val="0"/>
          <w:numId w:val="2"/>
        </w:numPr>
        <w:spacing w:after="40" w:before="40" w:line="300"/>
      </w:pPr>
      <w:r>
        <w:rPr>
          <w:rFonts w:ascii="Arial" w:cs="Arial" w:eastAsia="Arial" w:hAnsi="Arial"/>
          <w:color w:val="1F1E1E"/>
          <w:sz w:val="22"/>
          <w:szCs w:val="22"/>
        </w:rPr>
        <w:t xml:space="preserve">Methodology updates require committee approval and public documentation of changes.</w:t>
      </w:r>
    </w:p>
    <w:p>
      <w:pPr>
        <w:keepNext/>
        <w:spacing w:after="120" w:before="240"/>
      </w:pPr>
      <w:r>
        <w:rPr>
          <w:rFonts w:ascii="Arial" w:cs="Arial" w:eastAsia="Arial" w:hAnsi="Arial"/>
          <w:b/>
          <w:bCs/>
          <w:color w:val="3B5937"/>
          <w:sz w:val="22"/>
          <w:szCs w:val="22"/>
        </w:rPr>
        <w:t xml:space="preserve">Materiality and Restatement</w:t>
      </w:r>
    </w:p>
    <w:p>
      <w:pPr>
        <w:spacing w:after="120" w:before="60" w:line="320"/>
        <w:jc w:val="both"/>
      </w:pPr>
      <w:r>
        <w:rPr>
          <w:rFonts w:ascii="Arial" w:cs="Arial" w:eastAsia="Arial" w:hAnsi="Arial"/>
          <w:color w:val="1F1E1E"/>
          <w:sz w:val="22"/>
          <w:szCs w:val="22"/>
        </w:rPr>
        <w:t xml:space="preserve">A discrepancy is "material" if it would cause a reasonable donor or grantmaker to view a previously published impact metric differently, and in any case if:</w:t>
      </w:r>
    </w:p>
    <w:p>
      <w:pPr>
        <w:spacing w:after="120" w:before="60" w:line="320"/>
        <w:jc w:val="both"/>
      </w:pPr>
      <w:r>
        <w:rPr>
          <w:rFonts w:ascii="Arial" w:cs="Arial" w:eastAsia="Arial" w:hAnsi="Arial"/>
          <w:color w:val="1F1E1E"/>
          <w:sz w:val="22"/>
          <w:szCs w:val="22"/>
        </w:rPr>
        <w:t xml:space="preserve">(i) the metric was overstated by 20% or more; or (ii) the absolute overstatement exceeds 1,000 gallons of water, 1 metric ton of CO₂-equivalent, or one species.</w:t>
      </w:r>
    </w:p>
    <w:p>
      <w:pPr>
        <w:spacing w:after="120" w:before="60" w:line="320"/>
        <w:jc w:val="both"/>
      </w:pPr>
      <w:r>
        <w:rPr>
          <w:rFonts w:ascii="Arial" w:cs="Arial" w:eastAsia="Arial" w:hAnsi="Arial"/>
          <w:color w:val="1F1E1E"/>
          <w:sz w:val="22"/>
          <w:szCs w:val="22"/>
        </w:rPr>
        <w:t xml:space="preserve">Material discrepancies shall trigger:</w:t>
      </w:r>
    </w:p>
    <w:p>
      <w:pPr>
        <w:spacing w:after="120" w:before="60" w:line="320"/>
        <w:jc w:val="both"/>
      </w:pPr>
      <w:r>
        <w:rPr>
          <w:rFonts w:ascii="Arial" w:cs="Arial" w:eastAsia="Arial" w:hAnsi="Arial"/>
          <w:color w:val="1F1E1E"/>
          <w:sz w:val="22"/>
          <w:szCs w:val="22"/>
        </w:rPr>
        <w:t xml:space="preserve">(a) corrected disclosure in the next regularly scheduled publication; (b) targeted donor notice if the discrepancy affected a specific donor's project or grant report; (c) a one-page methodology amendment posted at holonfoundation.org/impact-methodology/changelog; and (d) Board notification at the next regular meeting.</w:t>
      </w:r>
    </w:p>
    <w:sectPr>
      <w:headerReference w:type="default" r:id="rId7"/>
      <w:headerReference w:type="first" r:id="rId8"/>
      <w:footerReference w:type="default" r:id="rId9"/>
      <w:footerReference w:type="first" r:id="rId10"/>
      <w:pgSz w:w="12240" w:h="15840" w:orient="portrait"/>
      <w:pgMar w:top="1080" w:right="1080" w:bottom="1080" w:left="108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6CD" w:sz="4" w:space="4"/>
      </w:pBdr>
      <w:tabs>
        <w:tab w:val="center" w:pos="4680"/>
        <w:tab w:val="right" w:pos="9360"/>
      </w:tabs>
      <w:spacing w:after="0" w:before="80"/>
      <w:jc w:val="center"/>
    </w:pPr>
    <w:r>
      <w:rPr>
        <w:rFonts w:ascii="Arial" w:cs="Arial" w:eastAsia="Arial" w:hAnsi="Arial"/>
        <w:color w:val="4A4A4A"/>
        <w:sz w:val="14"/>
        <w:szCs w:val="14"/>
      </w:rPr>
      <w:t xml:space="preserve">Holon Foundation</w:t>
    </w:r>
    <w:r>
      <w:rPr>
        <w:rFonts w:ascii="Arial" w:cs="Arial" w:eastAsia="Arial" w:hAnsi="Arial"/>
        <w:sz w:val="14"/>
        <w:szCs w:val="14"/>
      </w:rPr>
      <w:t xml:space="preserve">	</w:t>
    </w:r>
    <w:r>
      <w:rPr>
        <w:rFonts w:ascii="Arial" w:cs="Arial" w:eastAsia="Arial" w:hAnsi="Arial"/>
        <w:color w:val="4A4A4A"/>
        <w:sz w:val="14"/>
        <w:szCs w:val="14"/>
      </w:rPr>
      <w:t xml:space="preserve">Policy No. 18  ·  Version 2.0</w:t>
    </w:r>
    <w:r>
      <w:rPr>
        <w:rFonts w:ascii="Arial" w:cs="Arial" w:eastAsia="Arial" w:hAnsi="Arial"/>
        <w:sz w:val="14"/>
        <w:szCs w:val="14"/>
      </w:rPr>
      <w:t xml:space="preserve">	</w:t>
    </w:r>
    <w:r>
      <w:rPr>
        <w:rFonts w:ascii="Arial" w:cs="Arial" w:eastAsia="Arial" w:hAnsi="Arial"/>
        <w:color w:val="4A4A4A"/>
        <w:sz w:val="14"/>
        <w:szCs w:val="14"/>
      </w:rPr>
      <w:t xml:space="preserve">Page </w:t>
    </w:r>
    <w:r>
      <w:rPr>
        <w:rFonts w:ascii="Arial" w:cs="Arial" w:eastAsia="Arial" w:hAnsi="Arial"/>
        <w:color w:val="4A4A4A"/>
        <w:sz w:val="14"/>
        <w:szCs w:val="14"/>
      </w:rPr>
      <w:fldChar w:fldCharType="begin"/>
      <w:instrText xml:space="preserve">PAGE</w:instrText>
      <w:fldChar w:fldCharType="separate"/>
      <w:fldChar w:fldCharType="end"/>
    </w:r>
    <w:r>
      <w:rPr>
        <w:rFonts w:ascii="Arial" w:cs="Arial" w:eastAsia="Arial" w:hAnsi="Arial"/>
        <w:color w:val="4A4A4A"/>
        <w:sz w:val="14"/>
        <w:szCs w:val="14"/>
      </w:rPr>
      <w:t xml:space="preserve"> of </w:t>
    </w:r>
    <w:r>
      <w:rPr>
        <w:rFonts w:ascii="Arial" w:cs="Arial" w:eastAsia="Arial" w:hAnsi="Arial"/>
        <w:color w:val="4A4A4A"/>
        <w:sz w:val="14"/>
        <w:szCs w:val="14"/>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6CD" w:sz="4" w:space="4"/>
      </w:pBdr>
      <w:spacing w:after="80" w:before="0"/>
      <w:jc w:val="left"/>
    </w:pPr>
    <w:r>
      <w:rPr>
        <w:rFonts w:ascii="Arial" w:cs="Arial" w:eastAsia="Arial" w:hAnsi="Arial"/>
        <w:b/>
        <w:bCs/>
        <w:color w:val="561217"/>
        <w:spacing w:val="30"/>
        <w:sz w:val="14"/>
        <w:szCs w:val="14"/>
      </w:rPr>
      <w:t xml:space="preserve">HOLON FOUNDATION  ·  POLICY NO. 18  ·  ENVIRONMENTAL IMPACT REPORTING STANDARDS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Arial" w:cs="Arial" w:eastAsia="Arial" w:hAnsi="Arial"/>
        <w:color w:val="56121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1E1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Impact Reporting Standards</dc:title>
  <dc:creator>Holon Foundation</dc:creator>
  <dc:description>Holon Foundation — Policy No. 18</dc:description>
  <cp:lastModifiedBy>Un-named</cp:lastModifiedBy>
  <cp:revision>1</cp:revision>
  <dcterms:created xsi:type="dcterms:W3CDTF">2026-05-21T02:41:42.171Z</dcterms:created>
  <dcterms:modified xsi:type="dcterms:W3CDTF">2026-05-21T02:41:42.171Z</dcterms:modified>
</cp:coreProperties>
</file>

<file path=docProps/custom.xml><?xml version="1.0" encoding="utf-8"?>
<Properties xmlns="http://schemas.openxmlformats.org/officeDocument/2006/custom-properties" xmlns:vt="http://schemas.openxmlformats.org/officeDocument/2006/docPropsVTypes"/>
</file>