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17</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AI and Technology Ethics Policy</w:t>
      </w:r>
    </w:p>
    <w:p>
      <w:pPr>
        <w:spacing w:after="0" w:before="0"/>
        <w:jc w:val="center"/>
      </w:pPr>
      <w:r>
        <w:rPr>
          <w:rFonts w:ascii="Arial" w:cs="Arial" w:eastAsia="Arial" w:hAnsi="Arial"/>
          <w:i/>
          <w:iCs/>
          <w:color w:val="4A4A4A"/>
          <w:sz w:val="20"/>
          <w:szCs w:val="20"/>
        </w:rPr>
        <w:t xml:space="preserve">Holon Foundation — Policy No. 17</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Legal Foundation citing the Texas Responsible AI Governance Act (TRAIGA), NIST AI Risk Management Framework 1.0, EEOC AI guidance, FTC AI guidance, and (where applicable) the EU AI Act, with a Govern/Map/Measure/Manage crosswalk commitment.</w:t>
      </w:r>
    </w:p>
    <w:p>
      <w:pPr>
        <w:pStyle w:val="ListParagraph"/>
        <w:numPr>
          <w:ilvl w:val="0"/>
          <w:numId w:val="2"/>
        </w:numPr>
        <w:spacing w:after="40" w:before="40" w:line="300"/>
      </w:pPr>
      <w:r>
        <w:rPr>
          <w:rFonts w:ascii="Arial" w:cs="Arial" w:eastAsia="Arial" w:hAnsi="Arial"/>
          <w:color w:val="1F1E1E"/>
          <w:sz w:val="22"/>
          <w:szCs w:val="22"/>
        </w:rPr>
        <w:t xml:space="preserve">Added Consequential AI Decisions — Procedural Safeguards section requiring AI Impact Assessment, qualified human reviewer, audit log, individual explanation right, and annual fairness re-validation.</w:t>
      </w:r>
    </w:p>
    <w:p>
      <w:pPr>
        <w:pStyle w:val="ListParagraph"/>
        <w:numPr>
          <w:ilvl w:val="0"/>
          <w:numId w:val="2"/>
        </w:numPr>
        <w:spacing w:after="40" w:before="40" w:line="300"/>
      </w:pPr>
      <w:r>
        <w:rPr>
          <w:rFonts w:ascii="Arial" w:cs="Arial" w:eastAsia="Arial" w:hAnsi="Arial"/>
          <w:color w:val="1F1E1E"/>
          <w:sz w:val="22"/>
          <w:szCs w:val="22"/>
        </w:rPr>
        <w:t xml:space="preserve">Strengthened deepfake prohibition with Texas Penal Code § 21.165 and Election Code § 255.004 citations and synthetic-content labeling cross-reference to Policy No. 14.</w:t>
      </w:r>
    </w:p>
    <w:p>
      <w:pPr>
        <w:pStyle w:val="ListParagraph"/>
        <w:numPr>
          <w:ilvl w:val="0"/>
          <w:numId w:val="2"/>
        </w:numPr>
        <w:spacing w:after="40" w:before="40" w:line="300"/>
      </w:pPr>
      <w:r>
        <w:rPr>
          <w:rFonts w:ascii="Arial" w:cs="Arial" w:eastAsia="Arial" w:hAnsi="Arial"/>
          <w:color w:val="1F1E1E"/>
          <w:sz w:val="22"/>
          <w:szCs w:val="22"/>
        </w:rPr>
        <w:t xml:space="preserve">Added Third-Party AI Vendor due-diligence requirements (training-data use, SOC 2, data residency, output indemnification) tied to Policy No. 15 Sub-Processors framework.</w:t>
      </w:r>
    </w:p>
    <w:p>
      <w:pPr>
        <w:pStyle w:val="ListParagraph"/>
        <w:numPr>
          <w:ilvl w:val="0"/>
          <w:numId w:val="2"/>
        </w:numPr>
        <w:spacing w:after="40" w:before="40" w:line="300"/>
      </w:pPr>
      <w:r>
        <w:rPr>
          <w:rFonts w:ascii="Arial" w:cs="Arial" w:eastAsia="Arial" w:hAnsi="Arial"/>
          <w:color w:val="1F1E1E"/>
          <w:sz w:val="22"/>
          <w:szCs w:val="22"/>
        </w:rPr>
        <w:t xml:space="preserve">Added AI Systems Inventory and AI Incident Log requirements consistent with NIST AI RMF Govern-1.3 and Manage-2.</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ethical guidelines for Holon Foundation's use of artificial intelligence (AI), machine learning, and emerging technologies. It ensures that technology use aligns with our conservation mission, respects individual rights, and maintains public trust.</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Policy is adopted with reference to:</w:t>
      </w:r>
    </w:p>
    <w:p>
      <w:pPr>
        <w:spacing w:after="120" w:before="60" w:line="320"/>
        <w:jc w:val="both"/>
      </w:pPr>
      <w:r>
        <w:rPr>
          <w:rFonts w:ascii="Arial" w:cs="Arial" w:eastAsia="Arial" w:hAnsi="Arial"/>
          <w:color w:val="1F1E1E"/>
          <w:sz w:val="22"/>
          <w:szCs w:val="22"/>
        </w:rPr>
        <w:t xml:space="preserve">(a) the Texas Responsible AI Governance Act (TRAIGA), which imposes transparency, impact-assessment, and risk-management obligations on certain AI deployments by Texas entities;</w:t>
      </w:r>
    </w:p>
    <w:p>
      <w:pPr>
        <w:spacing w:after="120" w:before="60" w:line="320"/>
        <w:jc w:val="both"/>
      </w:pPr>
      <w:r>
        <w:rPr>
          <w:rFonts w:ascii="Arial" w:cs="Arial" w:eastAsia="Arial" w:hAnsi="Arial"/>
          <w:color w:val="1F1E1E"/>
          <w:sz w:val="22"/>
          <w:szCs w:val="22"/>
        </w:rPr>
        <w:t xml:space="preserve">(b) the National Institute of Standards and Technology AI Risk Management Framework (NIST AI RMF 1.0, January 2023), which provides the Foundation's reference model for AI governance;</w:t>
      </w:r>
    </w:p>
    <w:p>
      <w:pPr>
        <w:spacing w:after="120" w:before="60" w:line="320"/>
        <w:jc w:val="both"/>
      </w:pPr>
      <w:r>
        <w:rPr>
          <w:rFonts w:ascii="Arial" w:cs="Arial" w:eastAsia="Arial" w:hAnsi="Arial"/>
          <w:color w:val="1F1E1E"/>
          <w:sz w:val="22"/>
          <w:szCs w:val="22"/>
        </w:rPr>
        <w:t xml:space="preserve">(c) sector-specific guidance from the Federal Trade Commission and the Equal Employment Opportunity Commission on AI-related fairness, deception, and discrimination concerns;</w:t>
      </w:r>
    </w:p>
    <w:p>
      <w:pPr>
        <w:spacing w:after="120" w:before="60" w:line="320"/>
        <w:jc w:val="both"/>
      </w:pPr>
      <w:r>
        <w:rPr>
          <w:rFonts w:ascii="Arial" w:cs="Arial" w:eastAsia="Arial" w:hAnsi="Arial"/>
          <w:color w:val="1F1E1E"/>
          <w:sz w:val="22"/>
          <w:szCs w:val="22"/>
        </w:rPr>
        <w:t xml:space="preserve">(d) for any deployment touching EU users, the EU AI Act.</w:t>
      </w:r>
    </w:p>
    <w:p>
      <w:pPr>
        <w:spacing w:after="120" w:before="60" w:line="320"/>
        <w:jc w:val="both"/>
      </w:pPr>
      <w:r>
        <w:rPr>
          <w:rFonts w:ascii="Arial" w:cs="Arial" w:eastAsia="Arial" w:hAnsi="Arial"/>
          <w:color w:val="1F1E1E"/>
          <w:sz w:val="22"/>
          <w:szCs w:val="22"/>
        </w:rPr>
        <w:t xml:space="preserve">The Governance Committee shall maintain a current crosswalk between this Policy and the NIST AI RMF Core (Govern, Map, Measure, Manage) functions.</w:t>
      </w:r>
    </w:p>
    <w:p>
      <w:pPr>
        <w:keepNext/>
        <w:spacing w:after="160" w:before="360"/>
      </w:pPr>
      <w:r>
        <w:rPr>
          <w:rFonts w:ascii="Arial" w:cs="Arial" w:eastAsia="Arial" w:hAnsi="Arial"/>
          <w:b/>
          <w:bCs/>
          <w:color w:val="561217"/>
          <w:sz w:val="26"/>
          <w:szCs w:val="26"/>
        </w:rPr>
        <w:t xml:space="preserve">Guiding Principles</w:t>
      </w:r>
    </w:p>
    <w:p>
      <w:pPr>
        <w:pStyle w:val="ListParagraph"/>
        <w:numPr>
          <w:ilvl w:val="0"/>
          <w:numId w:val="2"/>
        </w:numPr>
        <w:spacing w:after="40" w:before="40" w:line="300"/>
      </w:pPr>
      <w:r>
        <w:rPr>
          <w:rFonts w:ascii="Arial" w:cs="Arial" w:eastAsia="Arial" w:hAnsi="Arial"/>
          <w:b/>
          <w:bCs/>
          <w:color w:val="1F1E1E"/>
          <w:sz w:val="22"/>
          <w:szCs w:val="22"/>
        </w:rPr>
        <w:t xml:space="preserve">Transparency.</w:t>
      </w:r>
      <w:r>
        <w:rPr>
          <w:rFonts w:ascii="Arial" w:cs="Arial" w:eastAsia="Arial" w:hAnsi="Arial"/>
          <w:color w:val="1F1E1E"/>
          <w:sz w:val="22"/>
          <w:szCs w:val="22"/>
        </w:rPr>
        <w:t xml:space="preserve"> We disclose when AI or automated systems are used in decision-making processes that affect individuals or communities.</w:t>
      </w:r>
    </w:p>
    <w:p>
      <w:pPr>
        <w:pStyle w:val="ListParagraph"/>
        <w:numPr>
          <w:ilvl w:val="0"/>
          <w:numId w:val="2"/>
        </w:numPr>
        <w:spacing w:after="40" w:before="40" w:line="300"/>
      </w:pPr>
      <w:r>
        <w:rPr>
          <w:rFonts w:ascii="Arial" w:cs="Arial" w:eastAsia="Arial" w:hAnsi="Arial"/>
          <w:b/>
          <w:bCs/>
          <w:color w:val="1F1E1E"/>
          <w:sz w:val="22"/>
          <w:szCs w:val="22"/>
        </w:rPr>
        <w:t xml:space="preserve">Fairness.</w:t>
      </w:r>
      <w:r>
        <w:rPr>
          <w:rFonts w:ascii="Arial" w:cs="Arial" w:eastAsia="Arial" w:hAnsi="Arial"/>
          <w:color w:val="1F1E1E"/>
          <w:sz w:val="22"/>
          <w:szCs w:val="22"/>
        </w:rPr>
        <w:t xml:space="preserve"> We design and deploy technology to avoid bias and ensure equitable outcomes for all community members.</w:t>
      </w:r>
    </w:p>
    <w:p>
      <w:pPr>
        <w:pStyle w:val="ListParagraph"/>
        <w:numPr>
          <w:ilvl w:val="0"/>
          <w:numId w:val="2"/>
        </w:numPr>
        <w:spacing w:after="40" w:before="40" w:line="300"/>
      </w:pPr>
      <w:r>
        <w:rPr>
          <w:rFonts w:ascii="Arial" w:cs="Arial" w:eastAsia="Arial" w:hAnsi="Arial"/>
          <w:b/>
          <w:bCs/>
          <w:color w:val="1F1E1E"/>
          <w:sz w:val="22"/>
          <w:szCs w:val="22"/>
        </w:rPr>
        <w:t xml:space="preserve">Privacy.</w:t>
      </w:r>
      <w:r>
        <w:rPr>
          <w:rFonts w:ascii="Arial" w:cs="Arial" w:eastAsia="Arial" w:hAnsi="Arial"/>
          <w:color w:val="1F1E1E"/>
          <w:sz w:val="22"/>
          <w:szCs w:val="22"/>
        </w:rPr>
        <w:t xml:space="preserve"> We protect personal data in accordance with Holon Foundation Policy No. 15 (Data Privacy and Security Policy), with additional safeguards for AI-processed data.</w:t>
      </w:r>
    </w:p>
    <w:p>
      <w:pPr>
        <w:pStyle w:val="ListParagraph"/>
        <w:numPr>
          <w:ilvl w:val="0"/>
          <w:numId w:val="2"/>
        </w:numPr>
        <w:spacing w:after="40" w:before="40" w:line="300"/>
      </w:pPr>
      <w:r>
        <w:rPr>
          <w:rFonts w:ascii="Arial" w:cs="Arial" w:eastAsia="Arial" w:hAnsi="Arial"/>
          <w:b/>
          <w:bCs/>
          <w:color w:val="1F1E1E"/>
          <w:sz w:val="22"/>
          <w:szCs w:val="22"/>
        </w:rPr>
        <w:t xml:space="preserve">Accountability.</w:t>
      </w:r>
      <w:r>
        <w:rPr>
          <w:rFonts w:ascii="Arial" w:cs="Arial" w:eastAsia="Arial" w:hAnsi="Arial"/>
          <w:color w:val="1F1E1E"/>
          <w:sz w:val="22"/>
          <w:szCs w:val="22"/>
        </w:rPr>
        <w:t xml:space="preserve"> Human oversight is maintained for all consequential decisions. AI recommendations are advisory, not determinative.</w:t>
      </w:r>
    </w:p>
    <w:p>
      <w:pPr>
        <w:pStyle w:val="ListParagraph"/>
        <w:numPr>
          <w:ilvl w:val="0"/>
          <w:numId w:val="2"/>
        </w:numPr>
        <w:spacing w:after="40" w:before="40" w:line="300"/>
      </w:pPr>
      <w:r>
        <w:rPr>
          <w:rFonts w:ascii="Arial" w:cs="Arial" w:eastAsia="Arial" w:hAnsi="Arial"/>
          <w:b/>
          <w:bCs/>
          <w:color w:val="1F1E1E"/>
          <w:sz w:val="22"/>
          <w:szCs w:val="22"/>
        </w:rPr>
        <w:t xml:space="preserve">Environmental Responsibility.</w:t>
      </w:r>
      <w:r>
        <w:rPr>
          <w:rFonts w:ascii="Arial" w:cs="Arial" w:eastAsia="Arial" w:hAnsi="Arial"/>
          <w:color w:val="1F1E1E"/>
          <w:sz w:val="22"/>
          <w:szCs w:val="22"/>
        </w:rPr>
        <w:t xml:space="preserve"> We consider the environmental impact of technology choices, including energy consumption and carbon footprint of AI systems.</w:t>
      </w:r>
    </w:p>
    <w:p>
      <w:pPr>
        <w:keepNext/>
        <w:spacing w:after="160" w:before="360"/>
      </w:pPr>
      <w:r>
        <w:rPr>
          <w:rFonts w:ascii="Arial" w:cs="Arial" w:eastAsia="Arial" w:hAnsi="Arial"/>
          <w:b/>
          <w:bCs/>
          <w:color w:val="561217"/>
          <w:sz w:val="26"/>
          <w:szCs w:val="26"/>
        </w:rPr>
        <w:t xml:space="preserve">Permitted Uses</w:t>
      </w:r>
    </w:p>
    <w:p>
      <w:pPr>
        <w:pStyle w:val="ListParagraph"/>
        <w:numPr>
          <w:ilvl w:val="0"/>
          <w:numId w:val="2"/>
        </w:numPr>
        <w:spacing w:after="40" w:before="40" w:line="300"/>
      </w:pPr>
      <w:r>
        <w:rPr>
          <w:rFonts w:ascii="Arial" w:cs="Arial" w:eastAsia="Arial" w:hAnsi="Arial"/>
          <w:color w:val="1F1E1E"/>
          <w:sz w:val="22"/>
          <w:szCs w:val="22"/>
        </w:rPr>
        <w:t xml:space="preserve">Impact measurement and environmental modeling (e.g., carbon sequestration estimates, water savings calculations)</w:t>
      </w:r>
    </w:p>
    <w:p>
      <w:pPr>
        <w:pStyle w:val="ListParagraph"/>
        <w:numPr>
          <w:ilvl w:val="0"/>
          <w:numId w:val="2"/>
        </w:numPr>
        <w:spacing w:after="40" w:before="40" w:line="300"/>
      </w:pPr>
      <w:r>
        <w:rPr>
          <w:rFonts w:ascii="Arial" w:cs="Arial" w:eastAsia="Arial" w:hAnsi="Arial"/>
          <w:color w:val="1F1E1E"/>
          <w:sz w:val="22"/>
          <w:szCs w:val="22"/>
        </w:rPr>
        <w:t xml:space="preserve">Platform content moderation and spam detection</w:t>
      </w:r>
    </w:p>
    <w:p>
      <w:pPr>
        <w:pStyle w:val="ListParagraph"/>
        <w:numPr>
          <w:ilvl w:val="0"/>
          <w:numId w:val="2"/>
        </w:numPr>
        <w:spacing w:after="40" w:before="40" w:line="300"/>
      </w:pPr>
      <w:r>
        <w:rPr>
          <w:rFonts w:ascii="Arial" w:cs="Arial" w:eastAsia="Arial" w:hAnsi="Arial"/>
          <w:color w:val="1F1E1E"/>
          <w:sz w:val="22"/>
          <w:szCs w:val="22"/>
        </w:rPr>
        <w:t xml:space="preserve">Data analysis for conservation research and reporting</w:t>
      </w:r>
    </w:p>
    <w:p>
      <w:pPr>
        <w:pStyle w:val="ListParagraph"/>
        <w:numPr>
          <w:ilvl w:val="0"/>
          <w:numId w:val="2"/>
        </w:numPr>
        <w:spacing w:after="40" w:before="40" w:line="300"/>
      </w:pPr>
      <w:r>
        <w:rPr>
          <w:rFonts w:ascii="Arial" w:cs="Arial" w:eastAsia="Arial" w:hAnsi="Arial"/>
          <w:color w:val="1F1E1E"/>
          <w:sz w:val="22"/>
          <w:szCs w:val="22"/>
        </w:rPr>
        <w:t xml:space="preserve">Administrative automation (scheduling, document organization, communication)</w:t>
      </w:r>
    </w:p>
    <w:p>
      <w:pPr>
        <w:pStyle w:val="ListParagraph"/>
        <w:numPr>
          <w:ilvl w:val="0"/>
          <w:numId w:val="2"/>
        </w:numPr>
        <w:spacing w:after="40" w:before="40" w:line="300"/>
      </w:pPr>
      <w:r>
        <w:rPr>
          <w:rFonts w:ascii="Arial" w:cs="Arial" w:eastAsia="Arial" w:hAnsi="Arial"/>
          <w:color w:val="1F1E1E"/>
          <w:sz w:val="22"/>
          <w:szCs w:val="22"/>
        </w:rPr>
        <w:t xml:space="preserve">Species identification assistance for garden stewards</w:t>
      </w:r>
    </w:p>
    <w:p>
      <w:pPr>
        <w:keepNext/>
        <w:spacing w:after="160" w:before="360"/>
      </w:pPr>
      <w:r>
        <w:rPr>
          <w:rFonts w:ascii="Arial" w:cs="Arial" w:eastAsia="Arial" w:hAnsi="Arial"/>
          <w:b/>
          <w:bCs/>
          <w:color w:val="561217"/>
          <w:sz w:val="26"/>
          <w:szCs w:val="26"/>
        </w:rPr>
        <w:t xml:space="preserve">Restricted Uses</w:t>
      </w:r>
    </w:p>
    <w:p>
      <w:pPr>
        <w:spacing w:after="120" w:before="60" w:line="320"/>
        <w:jc w:val="both"/>
      </w:pPr>
      <w:r>
        <w:rPr>
          <w:rFonts w:ascii="Arial" w:cs="Arial" w:eastAsia="Arial" w:hAnsi="Arial"/>
          <w:color w:val="1F1E1E"/>
          <w:sz w:val="22"/>
          <w:szCs w:val="22"/>
        </w:rPr>
        <w:t xml:space="preserve">The following uses require explicit board approval and ongoing oversight:</w:t>
      </w:r>
    </w:p>
    <w:p>
      <w:pPr>
        <w:pStyle w:val="ListParagraph"/>
        <w:numPr>
          <w:ilvl w:val="0"/>
          <w:numId w:val="2"/>
        </w:numPr>
        <w:spacing w:after="40" w:before="40" w:line="300"/>
      </w:pPr>
      <w:r>
        <w:rPr>
          <w:rFonts w:ascii="Arial" w:cs="Arial" w:eastAsia="Arial" w:hAnsi="Arial"/>
          <w:color w:val="1F1E1E"/>
          <w:sz w:val="22"/>
          <w:szCs w:val="22"/>
        </w:rPr>
        <w:t xml:space="preserve">AI systems that make or significantly influence decisions about individual stewards, donors, or community members (see Consequential AI Decisions — Procedural Safeguards below)</w:t>
      </w:r>
    </w:p>
    <w:p>
      <w:pPr>
        <w:pStyle w:val="ListParagraph"/>
        <w:numPr>
          <w:ilvl w:val="0"/>
          <w:numId w:val="2"/>
        </w:numPr>
        <w:spacing w:after="40" w:before="40" w:line="300"/>
      </w:pPr>
      <w:r>
        <w:rPr>
          <w:rFonts w:ascii="Arial" w:cs="Arial" w:eastAsia="Arial" w:hAnsi="Arial"/>
          <w:color w:val="1F1E1E"/>
          <w:sz w:val="22"/>
          <w:szCs w:val="22"/>
        </w:rPr>
        <w:t xml:space="preserve">Facial recognition or biometric analysis</w:t>
      </w:r>
    </w:p>
    <w:p>
      <w:pPr>
        <w:pStyle w:val="ListParagraph"/>
        <w:numPr>
          <w:ilvl w:val="0"/>
          <w:numId w:val="2"/>
        </w:numPr>
        <w:spacing w:after="40" w:before="40" w:line="300"/>
      </w:pPr>
      <w:r>
        <w:rPr>
          <w:rFonts w:ascii="Arial" w:cs="Arial" w:eastAsia="Arial" w:hAnsi="Arial"/>
          <w:color w:val="1F1E1E"/>
          <w:sz w:val="22"/>
          <w:szCs w:val="22"/>
        </w:rPr>
        <w:t xml:space="preserve">Automated grant-making or resource allocation decisions</w:t>
      </w:r>
    </w:p>
    <w:p>
      <w:pPr>
        <w:pStyle w:val="ListParagraph"/>
        <w:numPr>
          <w:ilvl w:val="0"/>
          <w:numId w:val="2"/>
        </w:numPr>
        <w:spacing w:after="40" w:before="40" w:line="300"/>
      </w:pPr>
      <w:r>
        <w:rPr>
          <w:rFonts w:ascii="Arial" w:cs="Arial" w:eastAsia="Arial" w:hAnsi="Arial"/>
          <w:color w:val="1F1E1E"/>
          <w:sz w:val="22"/>
          <w:szCs w:val="22"/>
        </w:rPr>
        <w:t xml:space="preserve">Predictive models that could result in differential treatment of communities</w:t>
      </w:r>
    </w:p>
    <w:p>
      <w:pPr>
        <w:keepNext/>
        <w:spacing w:after="120" w:before="240"/>
      </w:pPr>
      <w:r>
        <w:rPr>
          <w:rFonts w:ascii="Arial" w:cs="Arial" w:eastAsia="Arial" w:hAnsi="Arial"/>
          <w:b/>
          <w:bCs/>
          <w:color w:val="3B5937"/>
          <w:sz w:val="22"/>
          <w:szCs w:val="22"/>
        </w:rPr>
        <w:t xml:space="preserve">Consequential AI Decisions — Procedural Safeguards</w:t>
      </w:r>
    </w:p>
    <w:p>
      <w:pPr>
        <w:spacing w:after="120" w:before="60" w:line="320"/>
        <w:jc w:val="both"/>
      </w:pPr>
      <w:r>
        <w:rPr>
          <w:rFonts w:ascii="Arial" w:cs="Arial" w:eastAsia="Arial" w:hAnsi="Arial"/>
          <w:color w:val="1F1E1E"/>
          <w:sz w:val="22"/>
          <w:szCs w:val="22"/>
        </w:rPr>
        <w:t xml:space="preserve">Before any AI or automated system is used to make or materially influence a decision about an individual steward, donor, employee, applicant, beneficiary, or community member, the Foundation shall:</w:t>
      </w:r>
    </w:p>
    <w:p>
      <w:pPr>
        <w:spacing w:after="120" w:before="60" w:line="320"/>
        <w:jc w:val="both"/>
      </w:pPr>
      <w:r>
        <w:rPr>
          <w:rFonts w:ascii="Arial" w:cs="Arial" w:eastAsia="Arial" w:hAnsi="Arial"/>
          <w:color w:val="1F1E1E"/>
          <w:sz w:val="22"/>
          <w:szCs w:val="22"/>
        </w:rPr>
        <w:t xml:space="preserve">(a) complete an </w:t>
      </w:r>
      <w:r>
        <w:rPr>
          <w:rFonts w:ascii="Arial" w:cs="Arial" w:eastAsia="Arial" w:hAnsi="Arial"/>
          <w:b/>
          <w:bCs/>
          <w:color w:val="1F1E1E"/>
          <w:sz w:val="22"/>
          <w:szCs w:val="22"/>
        </w:rPr>
        <w:t xml:space="preserve">AI Impact Assessment</w:t>
      </w:r>
      <w:r>
        <w:rPr>
          <w:rFonts w:ascii="Arial" w:cs="Arial" w:eastAsia="Arial" w:hAnsi="Arial"/>
          <w:color w:val="1F1E1E"/>
          <w:sz w:val="22"/>
          <w:szCs w:val="22"/>
        </w:rPr>
        <w:t xml:space="preserve"> using the template at Schedule A (modeled on the NIST AI RMF Map function), documenting purpose, data inputs, model selection, fairness analysis across protected classes, alternatives considered, and residual risks;</w:t>
      </w:r>
    </w:p>
    <w:p>
      <w:pPr>
        <w:spacing w:after="120" w:before="60" w:line="320"/>
        <w:jc w:val="both"/>
      </w:pPr>
      <w:r>
        <w:rPr>
          <w:rFonts w:ascii="Arial" w:cs="Arial" w:eastAsia="Arial" w:hAnsi="Arial"/>
          <w:color w:val="1F1E1E"/>
          <w:sz w:val="22"/>
          <w:szCs w:val="22"/>
        </w:rPr>
        <w:t xml:space="preserve">(b) ensure a qualified human reviewer with authority to override the AI output reviews each consequential output before it takes effect;</w:t>
      </w:r>
    </w:p>
    <w:p>
      <w:pPr>
        <w:spacing w:after="120" w:before="60" w:line="320"/>
        <w:jc w:val="both"/>
      </w:pPr>
      <w:r>
        <w:rPr>
          <w:rFonts w:ascii="Arial" w:cs="Arial" w:eastAsia="Arial" w:hAnsi="Arial"/>
          <w:color w:val="1F1E1E"/>
          <w:sz w:val="22"/>
          <w:szCs w:val="22"/>
        </w:rPr>
        <w:t xml:space="preserve">(c) maintain a contemporaneous </w:t>
      </w:r>
      <w:r>
        <w:rPr>
          <w:rFonts w:ascii="Arial" w:cs="Arial" w:eastAsia="Arial" w:hAnsi="Arial"/>
          <w:b/>
          <w:bCs/>
          <w:color w:val="1F1E1E"/>
          <w:sz w:val="22"/>
          <w:szCs w:val="22"/>
        </w:rPr>
        <w:t xml:space="preserve">audit log</w:t>
      </w:r>
      <w:r>
        <w:rPr>
          <w:rFonts w:ascii="Arial" w:cs="Arial" w:eastAsia="Arial" w:hAnsi="Arial"/>
          <w:color w:val="1F1E1E"/>
          <w:sz w:val="22"/>
          <w:szCs w:val="22"/>
        </w:rPr>
        <w:t xml:space="preserve"> of inputs, outputs, and human-reviewer disposition;</w:t>
      </w:r>
    </w:p>
    <w:p>
      <w:pPr>
        <w:spacing w:after="120" w:before="60" w:line="320"/>
        <w:jc w:val="both"/>
      </w:pPr>
      <w:r>
        <w:rPr>
          <w:rFonts w:ascii="Arial" w:cs="Arial" w:eastAsia="Arial" w:hAnsi="Arial"/>
          <w:color w:val="1F1E1E"/>
          <w:sz w:val="22"/>
          <w:szCs w:val="22"/>
        </w:rPr>
        <w:t xml:space="preserve">(d) provide affected individuals, upon request, a plain-language </w:t>
      </w:r>
      <w:r>
        <w:rPr>
          <w:rFonts w:ascii="Arial" w:cs="Arial" w:eastAsia="Arial" w:hAnsi="Arial"/>
          <w:b/>
          <w:bCs/>
          <w:color w:val="1F1E1E"/>
          <w:sz w:val="22"/>
          <w:szCs w:val="22"/>
        </w:rPr>
        <w:t xml:space="preserve">explanation</w:t>
      </w:r>
      <w:r>
        <w:rPr>
          <w:rFonts w:ascii="Arial" w:cs="Arial" w:eastAsia="Arial" w:hAnsi="Arial"/>
          <w:color w:val="1F1E1E"/>
          <w:sz w:val="22"/>
          <w:szCs w:val="22"/>
        </w:rPr>
        <w:t xml:space="preserve"> of how the system contributed to the decision and a procedure to contest it;</w:t>
      </w:r>
    </w:p>
    <w:p>
      <w:pPr>
        <w:spacing w:after="120" w:before="60" w:line="320"/>
        <w:jc w:val="both"/>
      </w:pPr>
      <w:r>
        <w:rPr>
          <w:rFonts w:ascii="Arial" w:cs="Arial" w:eastAsia="Arial" w:hAnsi="Arial"/>
          <w:color w:val="1F1E1E"/>
          <w:sz w:val="22"/>
          <w:szCs w:val="22"/>
        </w:rPr>
        <w:t xml:space="preserve">(e) report any material adverse outcome to the Governance Committee within thirty (30) days;</w:t>
      </w:r>
    </w:p>
    <w:p>
      <w:pPr>
        <w:spacing w:after="120" w:before="60" w:line="320"/>
        <w:jc w:val="both"/>
      </w:pPr>
      <w:r>
        <w:rPr>
          <w:rFonts w:ascii="Arial" w:cs="Arial" w:eastAsia="Arial" w:hAnsi="Arial"/>
          <w:color w:val="1F1E1E"/>
          <w:sz w:val="22"/>
          <w:szCs w:val="22"/>
        </w:rPr>
        <w:t xml:space="preserve">(f) </w:t>
      </w:r>
      <w:r>
        <w:rPr>
          <w:rFonts w:ascii="Arial" w:cs="Arial" w:eastAsia="Arial" w:hAnsi="Arial"/>
          <w:b/>
          <w:bCs/>
          <w:color w:val="1F1E1E"/>
          <w:sz w:val="22"/>
          <w:szCs w:val="22"/>
        </w:rPr>
        <w:t xml:space="preserve">re-validate</w:t>
      </w:r>
      <w:r>
        <w:rPr>
          <w:rFonts w:ascii="Arial" w:cs="Arial" w:eastAsia="Arial" w:hAnsi="Arial"/>
          <w:color w:val="1F1E1E"/>
          <w:sz w:val="22"/>
          <w:szCs w:val="22"/>
        </w:rPr>
        <w:t xml:space="preserve"> the system at least annually for accuracy, fairness, and continued mission alignment.</w:t>
      </w:r>
    </w:p>
    <w:p>
      <w:pPr>
        <w:keepNext/>
        <w:spacing w:after="160" w:before="360"/>
      </w:pPr>
      <w:r>
        <w:rPr>
          <w:rFonts w:ascii="Arial" w:cs="Arial" w:eastAsia="Arial" w:hAnsi="Arial"/>
          <w:b/>
          <w:bCs/>
          <w:color w:val="561217"/>
          <w:sz w:val="26"/>
          <w:szCs w:val="26"/>
        </w:rPr>
        <w:t xml:space="preserve">Prohibited Uses</w:t>
      </w:r>
    </w:p>
    <w:p>
      <w:pPr>
        <w:pStyle w:val="ListParagraph"/>
        <w:numPr>
          <w:ilvl w:val="0"/>
          <w:numId w:val="2"/>
        </w:numPr>
        <w:spacing w:after="40" w:before="40" w:line="300"/>
      </w:pPr>
      <w:r>
        <w:rPr>
          <w:rFonts w:ascii="Arial" w:cs="Arial" w:eastAsia="Arial" w:hAnsi="Arial"/>
          <w:color w:val="1F1E1E"/>
          <w:sz w:val="22"/>
          <w:szCs w:val="22"/>
        </w:rPr>
        <w:t xml:space="preserve">Surveillance of stewards, staff, or community members beyond what is necessary for platform security</w:t>
      </w:r>
    </w:p>
    <w:p>
      <w:pPr>
        <w:pStyle w:val="ListParagraph"/>
        <w:numPr>
          <w:ilvl w:val="0"/>
          <w:numId w:val="2"/>
        </w:numPr>
        <w:spacing w:after="40" w:before="40" w:line="300"/>
      </w:pPr>
      <w:r>
        <w:rPr>
          <w:rFonts w:ascii="Arial" w:cs="Arial" w:eastAsia="Arial" w:hAnsi="Arial"/>
          <w:b/>
          <w:bCs/>
          <w:color w:val="1F1E1E"/>
          <w:sz w:val="22"/>
          <w:szCs w:val="22"/>
        </w:rPr>
        <w:t xml:space="preserve">Creation of deepfakes or synthetic media representing real individuals.</w:t>
      </w:r>
      <w:r>
        <w:rPr>
          <w:rFonts w:ascii="Arial" w:cs="Arial" w:eastAsia="Arial" w:hAnsi="Arial"/>
          <w:color w:val="1F1E1E"/>
          <w:sz w:val="22"/>
          <w:szCs w:val="22"/>
        </w:rPr>
        <w:t xml:space="preserve"> The Foundation prohibits creation, deployment, or knowing distribution of synthetic media (deepfakes) representing any real individual without that individual's express written consent. This prohibition is broader than, but in any case consistent with, Texas Penal Code § 21.165 (unlawful production of deepfake video) and Texas Election Code § 255.004 (deepfakes in political advertising). For any AI-generated synthetic content used for educational or illustrative purposes (e.g., compositing of plant species), the content shall be conspicuously labeled as synthetic per Holon Foundation Policy No. 14 (Social Media and Communications Policy).</w:t>
      </w:r>
    </w:p>
    <w:p>
      <w:pPr>
        <w:pStyle w:val="ListParagraph"/>
        <w:numPr>
          <w:ilvl w:val="0"/>
          <w:numId w:val="2"/>
        </w:numPr>
        <w:spacing w:after="40" w:before="40" w:line="300"/>
      </w:pPr>
      <w:r>
        <w:rPr>
          <w:rFonts w:ascii="Arial" w:cs="Arial" w:eastAsia="Arial" w:hAnsi="Arial"/>
          <w:color w:val="1F1E1E"/>
          <w:sz w:val="22"/>
          <w:szCs w:val="22"/>
        </w:rPr>
        <w:t xml:space="preserve">Use of AI to circumvent privacy protections or access restricted data</w:t>
      </w:r>
    </w:p>
    <w:p>
      <w:pPr>
        <w:pStyle w:val="ListParagraph"/>
        <w:numPr>
          <w:ilvl w:val="0"/>
          <w:numId w:val="2"/>
        </w:numPr>
        <w:spacing w:after="40" w:before="40" w:line="300"/>
      </w:pPr>
      <w:r>
        <w:rPr>
          <w:rFonts w:ascii="Arial" w:cs="Arial" w:eastAsia="Arial" w:hAnsi="Arial"/>
          <w:color w:val="1F1E1E"/>
          <w:sz w:val="22"/>
          <w:szCs w:val="22"/>
        </w:rPr>
        <w:t xml:space="preserve">Deployment of AI systems that cannot be audited or explained</w:t>
      </w:r>
    </w:p>
    <w:p>
      <w:pPr>
        <w:keepNext/>
        <w:spacing w:after="160" w:before="360"/>
      </w:pPr>
      <w:r>
        <w:rPr>
          <w:rFonts w:ascii="Arial" w:cs="Arial" w:eastAsia="Arial" w:hAnsi="Arial"/>
          <w:b/>
          <w:bCs/>
          <w:color w:val="561217"/>
          <w:sz w:val="26"/>
          <w:szCs w:val="26"/>
        </w:rPr>
        <w:t xml:space="preserve">Third-Party AI Vendors</w:t>
      </w:r>
    </w:p>
    <w:p>
      <w:pPr>
        <w:spacing w:after="120" w:before="60" w:line="320"/>
        <w:jc w:val="both"/>
      </w:pPr>
      <w:r>
        <w:rPr>
          <w:rFonts w:ascii="Arial" w:cs="Arial" w:eastAsia="Arial" w:hAnsi="Arial"/>
          <w:color w:val="1F1E1E"/>
          <w:sz w:val="22"/>
          <w:szCs w:val="22"/>
        </w:rPr>
        <w:t xml:space="preserve">Before engaging any third-party AI service that processes Foundation data or affects Foundation operations, the Executive Director or designee shall confirm in writing:</w:t>
      </w:r>
    </w:p>
    <w:p>
      <w:pPr>
        <w:spacing w:after="120" w:before="60" w:line="320"/>
        <w:jc w:val="both"/>
      </w:pPr>
      <w:r>
        <w:rPr>
          <w:rFonts w:ascii="Arial" w:cs="Arial" w:eastAsia="Arial" w:hAnsi="Arial"/>
          <w:color w:val="1F1E1E"/>
          <w:sz w:val="22"/>
          <w:szCs w:val="22"/>
        </w:rPr>
        <w:t xml:space="preserve">(a) the vendor's training-data and model-output use practices, including whether Foundation inputs are used for model training (preference: opt out of training-data use);</w:t>
      </w:r>
    </w:p>
    <w:p>
      <w:pPr>
        <w:spacing w:after="120" w:before="60" w:line="320"/>
        <w:jc w:val="both"/>
      </w:pPr>
      <w:r>
        <w:rPr>
          <w:rFonts w:ascii="Arial" w:cs="Arial" w:eastAsia="Arial" w:hAnsi="Arial"/>
          <w:color w:val="1F1E1E"/>
          <w:sz w:val="22"/>
          <w:szCs w:val="22"/>
        </w:rPr>
        <w:t xml:space="preserve">(b) the vendor's security posture, with SOC 2 Type II or equivalent attestation for any vendor processing sensitive personal data;</w:t>
      </w:r>
    </w:p>
    <w:p>
      <w:pPr>
        <w:spacing w:after="120" w:before="60" w:line="320"/>
        <w:jc w:val="both"/>
      </w:pPr>
      <w:r>
        <w:rPr>
          <w:rFonts w:ascii="Arial" w:cs="Arial" w:eastAsia="Arial" w:hAnsi="Arial"/>
          <w:color w:val="1F1E1E"/>
          <w:sz w:val="22"/>
          <w:szCs w:val="22"/>
        </w:rPr>
        <w:t xml:space="preserve">(c) data-residency commitments compatible with the Foundation's GDPR posture (Holon Foundation Policy No. 15);</w:t>
      </w:r>
    </w:p>
    <w:p>
      <w:pPr>
        <w:spacing w:after="120" w:before="60" w:line="320"/>
        <w:jc w:val="both"/>
      </w:pPr>
      <w:r>
        <w:rPr>
          <w:rFonts w:ascii="Arial" w:cs="Arial" w:eastAsia="Arial" w:hAnsi="Arial"/>
          <w:color w:val="1F1E1E"/>
          <w:sz w:val="22"/>
          <w:szCs w:val="22"/>
        </w:rPr>
        <w:t xml:space="preserve">(d) contractual indemnification for output-based IP and defamation claims;</w:t>
      </w:r>
    </w:p>
    <w:p>
      <w:pPr>
        <w:spacing w:after="120" w:before="60" w:line="320"/>
        <w:jc w:val="both"/>
      </w:pPr>
      <w:r>
        <w:rPr>
          <w:rFonts w:ascii="Arial" w:cs="Arial" w:eastAsia="Arial" w:hAnsi="Arial"/>
          <w:color w:val="1F1E1E"/>
          <w:sz w:val="22"/>
          <w:szCs w:val="22"/>
        </w:rPr>
        <w:t xml:space="preserve">(e) ability to delete Foundation data upon termination.</w:t>
      </w:r>
    </w:p>
    <w:p>
      <w:pPr>
        <w:spacing w:after="120" w:before="60" w:line="320"/>
        <w:jc w:val="both"/>
      </w:pPr>
      <w:r>
        <w:rPr>
          <w:rFonts w:ascii="Arial" w:cs="Arial" w:eastAsia="Arial" w:hAnsi="Arial"/>
          <w:color w:val="1F1E1E"/>
          <w:sz w:val="22"/>
          <w:szCs w:val="22"/>
        </w:rPr>
        <w:t xml:space="preserve">AI vendors processing personal data shall be added to the Foundation's Sub-Processors list per Policy No. 15.</w:t>
      </w:r>
    </w:p>
    <w:p>
      <w:pPr>
        <w:keepNext/>
        <w:spacing w:after="160" w:before="360"/>
      </w:pPr>
      <w:r>
        <w:rPr>
          <w:rFonts w:ascii="Arial" w:cs="Arial" w:eastAsia="Arial" w:hAnsi="Arial"/>
          <w:b/>
          <w:bCs/>
          <w:color w:val="561217"/>
          <w:sz w:val="26"/>
          <w:szCs w:val="26"/>
        </w:rPr>
        <w:t xml:space="preserve">Review and Oversight</w:t>
      </w:r>
    </w:p>
    <w:p>
      <w:pPr>
        <w:spacing w:after="120" w:before="60" w:line="320"/>
        <w:jc w:val="both"/>
      </w:pPr>
      <w:r>
        <w:rPr>
          <w:rFonts w:ascii="Arial" w:cs="Arial" w:eastAsia="Arial" w:hAnsi="Arial"/>
          <w:color w:val="1F1E1E"/>
          <w:sz w:val="22"/>
          <w:szCs w:val="22"/>
        </w:rPr>
        <w:t xml:space="preserve">New AI and technology deployments are reviewed by the Executive Director with input from technology advisors. Significant deployments require Governance Committee review. This policy is reviewed annually.</w:t>
      </w:r>
    </w:p>
    <w:p>
      <w:pPr>
        <w:keepNext/>
        <w:spacing w:after="120" w:before="240"/>
      </w:pPr>
      <w:r>
        <w:rPr>
          <w:rFonts w:ascii="Arial" w:cs="Arial" w:eastAsia="Arial" w:hAnsi="Arial"/>
          <w:b/>
          <w:bCs/>
          <w:color w:val="3B5937"/>
          <w:sz w:val="22"/>
          <w:szCs w:val="22"/>
        </w:rPr>
        <w:t xml:space="preserve">AI Systems Inventory</w:t>
      </w:r>
    </w:p>
    <w:p>
      <w:pPr>
        <w:spacing w:after="120" w:before="60" w:line="320"/>
        <w:jc w:val="both"/>
      </w:pPr>
      <w:r>
        <w:rPr>
          <w:rFonts w:ascii="Arial" w:cs="Arial" w:eastAsia="Arial" w:hAnsi="Arial"/>
          <w:color w:val="1F1E1E"/>
          <w:sz w:val="22"/>
          <w:szCs w:val="22"/>
        </w:rPr>
        <w:t xml:space="preserve">The Executive Director shall maintain a current inventory of all AI systems in use, listing for each:</w:t>
      </w:r>
    </w:p>
    <w:p>
      <w:pPr>
        <w:spacing w:after="120" w:before="60" w:line="320"/>
        <w:jc w:val="both"/>
      </w:pPr>
      <w:r>
        <w:rPr>
          <w:rFonts w:ascii="Arial" w:cs="Arial" w:eastAsia="Arial" w:hAnsi="Arial"/>
          <w:color w:val="1F1E1E"/>
          <w:sz w:val="22"/>
          <w:szCs w:val="22"/>
        </w:rPr>
        <w:t xml:space="preserve">(a) purpose and category (permitted / restricted / prohibited-class precluded); (b) vendor and contract reference; (c) data inputs; (d) approving authority and date; (e) date of last Impact Assessment; (f) next scheduled review.</w:t>
      </w:r>
    </w:p>
    <w:p>
      <w:pPr>
        <w:spacing w:after="120" w:before="60" w:line="320"/>
        <w:jc w:val="both"/>
      </w:pPr>
      <w:r>
        <w:rPr>
          <w:rFonts w:ascii="Arial" w:cs="Arial" w:eastAsia="Arial" w:hAnsi="Arial"/>
          <w:color w:val="1F1E1E"/>
          <w:sz w:val="22"/>
          <w:szCs w:val="22"/>
        </w:rPr>
        <w:t xml:space="preserve">The inventory shall be reviewed by the Governance Committee annually and made available to the Audit Committee on request.</w:t>
      </w:r>
    </w:p>
    <w:p>
      <w:pPr>
        <w:keepNext/>
        <w:spacing w:after="120" w:before="240"/>
      </w:pPr>
      <w:r>
        <w:rPr>
          <w:rFonts w:ascii="Arial" w:cs="Arial" w:eastAsia="Arial" w:hAnsi="Arial"/>
          <w:b/>
          <w:bCs/>
          <w:color w:val="3B5937"/>
          <w:sz w:val="22"/>
          <w:szCs w:val="22"/>
        </w:rPr>
        <w:t xml:space="preserve">AI Incident Log</w:t>
      </w:r>
    </w:p>
    <w:p>
      <w:pPr>
        <w:spacing w:after="120" w:before="60" w:line="320"/>
        <w:jc w:val="both"/>
      </w:pPr>
      <w:r>
        <w:rPr>
          <w:rFonts w:ascii="Arial" w:cs="Arial" w:eastAsia="Arial" w:hAnsi="Arial"/>
          <w:color w:val="1F1E1E"/>
          <w:sz w:val="22"/>
          <w:szCs w:val="22"/>
        </w:rPr>
        <w:t xml:space="preserve">Any material AI-related incident — including failures producing inaccurate outputs that affected individuals, unintended disclosures, fairness complaints, or vendor security events — shall be logged in the AI Incident Log within ten (10) business days of detection, with summary reported to the Governance Committee at its next regular meeting. Recurring or high-severity incidents may trigger decommissioning of the system.</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17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17  ·  AI AND TECHNOLOGY ETHICS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and Technology Ethics Policy</dc:title>
  <dc:creator>Holon Foundation</dc:creator>
  <dc:description>Holon Foundation — Policy No. 17</dc:description>
  <cp:lastModifiedBy>Un-named</cp:lastModifiedBy>
  <cp:revision>1</cp:revision>
  <dcterms:created xsi:type="dcterms:W3CDTF">2026-05-21T02:41:42.054Z</dcterms:created>
  <dcterms:modified xsi:type="dcterms:W3CDTF">2026-05-21T02:41:42.054Z</dcterms:modified>
</cp:coreProperties>
</file>

<file path=docProps/custom.xml><?xml version="1.0" encoding="utf-8"?>
<Properties xmlns="http://schemas.openxmlformats.org/officeDocument/2006/custom-properties" xmlns:vt="http://schemas.openxmlformats.org/officeDocument/2006/docPropsVTypes"/>
</file>