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16</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Partnership and Affiliation Policy</w:t>
      </w:r>
    </w:p>
    <w:p>
      <w:pPr>
        <w:spacing w:after="0" w:before="0"/>
        <w:jc w:val="center"/>
      </w:pPr>
      <w:r>
        <w:rPr>
          <w:rFonts w:ascii="Arial" w:cs="Arial" w:eastAsia="Arial" w:hAnsi="Arial"/>
          <w:i/>
          <w:iCs/>
          <w:color w:val="4A4A4A"/>
          <w:sz w:val="20"/>
          <w:szCs w:val="20"/>
        </w:rPr>
        <w:t xml:space="preserve">Holon Foundation — Policy No. 16</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Joint Ventures and Fiscal Sponsorship subsection invoking Form 990 Part VI Line 16, Rev. Rul. 98-15, and National Network of Fiscal Sponsors Model A/C standards.</w:t>
      </w:r>
    </w:p>
    <w:p>
      <w:pPr>
        <w:pStyle w:val="ListParagraph"/>
        <w:numPr>
          <w:ilvl w:val="0"/>
          <w:numId w:val="2"/>
        </w:numPr>
        <w:spacing w:after="40" w:before="40" w:line="300"/>
      </w:pPr>
      <w:r>
        <w:rPr>
          <w:rFonts w:ascii="Arial" w:cs="Arial" w:eastAsia="Arial" w:hAnsi="Arial"/>
          <w:color w:val="1F1E1E"/>
          <w:sz w:val="22"/>
          <w:szCs w:val="22"/>
        </w:rPr>
        <w:t xml:space="preserve">Added Sanctions and Anti-Corruption Screening across OFAC SDN list, UN/EU consolidated lists, and FCPA due diligence for partners in elevated-corruption jurisdictions (Transparency International CPI &lt;50).</w:t>
      </w:r>
    </w:p>
    <w:p>
      <w:pPr>
        <w:pStyle w:val="ListParagraph"/>
        <w:numPr>
          <w:ilvl w:val="0"/>
          <w:numId w:val="2"/>
        </w:numPr>
        <w:spacing w:after="40" w:before="40" w:line="300"/>
      </w:pPr>
      <w:r>
        <w:rPr>
          <w:rFonts w:ascii="Arial" w:cs="Arial" w:eastAsia="Arial" w:hAnsi="Arial"/>
          <w:color w:val="1F1E1E"/>
          <w:sz w:val="22"/>
          <w:szCs w:val="22"/>
        </w:rPr>
        <w:t xml:space="preserve">Added Sponsorship and UBIT section structuring corporate-sponsor payments as qualified sponsorship payments under IRC § 513(i) to preserve UBIT-exempt status.</w:t>
      </w:r>
    </w:p>
    <w:p>
      <w:pPr>
        <w:pStyle w:val="ListParagraph"/>
        <w:numPr>
          <w:ilvl w:val="0"/>
          <w:numId w:val="2"/>
        </w:numPr>
        <w:spacing w:after="40" w:before="40" w:line="300"/>
      </w:pPr>
      <w:r>
        <w:rPr>
          <w:rFonts w:ascii="Arial" w:cs="Arial" w:eastAsia="Arial" w:hAnsi="Arial"/>
          <w:color w:val="1F1E1E"/>
          <w:sz w:val="22"/>
          <w:szCs w:val="22"/>
        </w:rPr>
        <w:t xml:space="preserve">Specified Minimum Contract Terms (indemnification, insurance with named-additional-insured floor, IP, data-sharing tied to Policy No. 15, governing-law/venue in Harris County).</w:t>
      </w:r>
    </w:p>
    <w:p>
      <w:pPr>
        <w:pStyle w:val="ListParagraph"/>
        <w:numPr>
          <w:ilvl w:val="0"/>
          <w:numId w:val="2"/>
        </w:numPr>
        <w:spacing w:after="40" w:before="40" w:line="300"/>
      </w:pPr>
      <w:r>
        <w:rPr>
          <w:rFonts w:ascii="Arial" w:cs="Arial" w:eastAsia="Arial" w:hAnsi="Arial"/>
          <w:color w:val="1F1E1E"/>
          <w:sz w:val="22"/>
          <w:szCs w:val="22"/>
        </w:rPr>
        <w:t xml:space="preserve">Added Early-Review Triggers and Exit Debrief requirements; cross-referenced Policies No. 04, 15, 19, and 05.</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This policy establishes guidelines for evaluating, approving, and managing partnerships and affiliations between Holon Foundation and other organizations. It ensures that all partnerships advance the Foundation's conservation mission, protect its reputation, and create mutual value.</w:t>
      </w:r>
    </w:p>
    <w:p>
      <w:pPr>
        <w:keepNext/>
        <w:spacing w:after="160" w:before="360"/>
      </w:pPr>
      <w:r>
        <w:rPr>
          <w:rFonts w:ascii="Arial" w:cs="Arial" w:eastAsia="Arial" w:hAnsi="Arial"/>
          <w:b/>
          <w:bCs/>
          <w:color w:val="561217"/>
          <w:sz w:val="26"/>
          <w:szCs w:val="26"/>
        </w:rPr>
        <w:t xml:space="preserve">Types of Partnerships</w:t>
      </w:r>
    </w:p>
    <w:p>
      <w:pPr>
        <w:pStyle w:val="ListParagraph"/>
        <w:numPr>
          <w:ilvl w:val="0"/>
          <w:numId w:val="2"/>
        </w:numPr>
        <w:spacing w:after="40" w:before="40" w:line="300"/>
      </w:pPr>
      <w:r>
        <w:rPr>
          <w:rFonts w:ascii="Arial" w:cs="Arial" w:eastAsia="Arial" w:hAnsi="Arial"/>
          <w:b/>
          <w:bCs/>
          <w:color w:val="1F1E1E"/>
          <w:sz w:val="22"/>
          <w:szCs w:val="22"/>
        </w:rPr>
        <w:t xml:space="preserve">Program Partnerships.</w:t>
      </w:r>
      <w:r>
        <w:rPr>
          <w:rFonts w:ascii="Arial" w:cs="Arial" w:eastAsia="Arial" w:hAnsi="Arial"/>
          <w:color w:val="1F1E1E"/>
          <w:sz w:val="22"/>
          <w:szCs w:val="22"/>
        </w:rPr>
        <w:t xml:space="preserve"> Collaborative conservation projects, joint educational programs, or shared stewardship initiatives.</w:t>
      </w:r>
    </w:p>
    <w:p>
      <w:pPr>
        <w:pStyle w:val="ListParagraph"/>
        <w:numPr>
          <w:ilvl w:val="0"/>
          <w:numId w:val="2"/>
        </w:numPr>
        <w:spacing w:after="40" w:before="40" w:line="300"/>
      </w:pPr>
      <w:r>
        <w:rPr>
          <w:rFonts w:ascii="Arial" w:cs="Arial" w:eastAsia="Arial" w:hAnsi="Arial"/>
          <w:b/>
          <w:bCs/>
          <w:color w:val="1F1E1E"/>
          <w:sz w:val="22"/>
          <w:szCs w:val="22"/>
        </w:rPr>
        <w:t xml:space="preserve">Funding Partnerships.</w:t>
      </w:r>
      <w:r>
        <w:rPr>
          <w:rFonts w:ascii="Arial" w:cs="Arial" w:eastAsia="Arial" w:hAnsi="Arial"/>
          <w:color w:val="1F1E1E"/>
          <w:sz w:val="22"/>
          <w:szCs w:val="22"/>
        </w:rPr>
        <w:t xml:space="preserve"> Grant-making relationships, corporate sponsorships, or co-funding arrangements.</w:t>
      </w:r>
    </w:p>
    <w:p>
      <w:pPr>
        <w:pStyle w:val="ListParagraph"/>
        <w:numPr>
          <w:ilvl w:val="0"/>
          <w:numId w:val="2"/>
        </w:numPr>
        <w:spacing w:after="40" w:before="40" w:line="300"/>
      </w:pPr>
      <w:r>
        <w:rPr>
          <w:rFonts w:ascii="Arial" w:cs="Arial" w:eastAsia="Arial" w:hAnsi="Arial"/>
          <w:b/>
          <w:bCs/>
          <w:color w:val="1F1E1E"/>
          <w:sz w:val="22"/>
          <w:szCs w:val="22"/>
        </w:rPr>
        <w:t xml:space="preserve">Technology Partnerships.</w:t>
      </w:r>
      <w:r>
        <w:rPr>
          <w:rFonts w:ascii="Arial" w:cs="Arial" w:eastAsia="Arial" w:hAnsi="Arial"/>
          <w:color w:val="1F1E1E"/>
          <w:sz w:val="22"/>
          <w:szCs w:val="22"/>
        </w:rPr>
        <w:t xml:space="preserve"> Shared platform development, data sharing agreements, or tool integration.</w:t>
      </w:r>
    </w:p>
    <w:p>
      <w:pPr>
        <w:pStyle w:val="ListParagraph"/>
        <w:numPr>
          <w:ilvl w:val="0"/>
          <w:numId w:val="2"/>
        </w:numPr>
        <w:spacing w:after="40" w:before="40" w:line="300"/>
      </w:pPr>
      <w:r>
        <w:rPr>
          <w:rFonts w:ascii="Arial" w:cs="Arial" w:eastAsia="Arial" w:hAnsi="Arial"/>
          <w:b/>
          <w:bCs/>
          <w:color w:val="1F1E1E"/>
          <w:sz w:val="22"/>
          <w:szCs w:val="22"/>
        </w:rPr>
        <w:t xml:space="preserve">Research Partnerships.</w:t>
      </w:r>
      <w:r>
        <w:rPr>
          <w:rFonts w:ascii="Arial" w:cs="Arial" w:eastAsia="Arial" w:hAnsi="Arial"/>
          <w:color w:val="1F1E1E"/>
          <w:sz w:val="22"/>
          <w:szCs w:val="22"/>
        </w:rPr>
        <w:t xml:space="preserve"> Academic collaborations, impact studies, or conservation science projects.</w:t>
      </w:r>
    </w:p>
    <w:p>
      <w:pPr>
        <w:pStyle w:val="ListParagraph"/>
        <w:numPr>
          <w:ilvl w:val="0"/>
          <w:numId w:val="2"/>
        </w:numPr>
        <w:spacing w:after="40" w:before="40" w:line="300"/>
      </w:pPr>
      <w:r>
        <w:rPr>
          <w:rFonts w:ascii="Arial" w:cs="Arial" w:eastAsia="Arial" w:hAnsi="Arial"/>
          <w:b/>
          <w:bCs/>
          <w:color w:val="1F1E1E"/>
          <w:sz w:val="22"/>
          <w:szCs w:val="22"/>
        </w:rPr>
        <w:t xml:space="preserve">Community Partnerships.</w:t>
      </w:r>
      <w:r>
        <w:rPr>
          <w:rFonts w:ascii="Arial" w:cs="Arial" w:eastAsia="Arial" w:hAnsi="Arial"/>
          <w:color w:val="1F1E1E"/>
          <w:sz w:val="22"/>
          <w:szCs w:val="22"/>
        </w:rPr>
        <w:t xml:space="preserve"> Relationships with neighborhood organizations, garden clubs, schools, or civic groups.</w:t>
      </w:r>
    </w:p>
    <w:p>
      <w:pPr>
        <w:keepNext/>
        <w:spacing w:after="160" w:before="360"/>
      </w:pPr>
      <w:r>
        <w:rPr>
          <w:rFonts w:ascii="Arial" w:cs="Arial" w:eastAsia="Arial" w:hAnsi="Arial"/>
          <w:b/>
          <w:bCs/>
          <w:color w:val="561217"/>
          <w:sz w:val="26"/>
          <w:szCs w:val="26"/>
        </w:rPr>
        <w:t xml:space="preserve">Evaluation Criteria</w:t>
      </w:r>
    </w:p>
    <w:p>
      <w:pPr>
        <w:spacing w:after="120" w:before="60" w:line="320"/>
        <w:jc w:val="both"/>
      </w:pPr>
      <w:r>
        <w:rPr>
          <w:rFonts w:ascii="Arial" w:cs="Arial" w:eastAsia="Arial" w:hAnsi="Arial"/>
          <w:color w:val="1F1E1E"/>
          <w:sz w:val="22"/>
          <w:szCs w:val="22"/>
        </w:rPr>
        <w:t xml:space="preserve">All proposed partnerships must be evaluated against:</w:t>
      </w:r>
    </w:p>
    <w:p>
      <w:pPr>
        <w:spacing w:after="120" w:before="60" w:line="320"/>
        <w:jc w:val="both"/>
      </w:pPr>
      <w:r>
        <w:rPr>
          <w:rFonts w:ascii="Arial" w:cs="Arial" w:eastAsia="Arial" w:hAnsi="Arial"/>
          <w:color w:val="1F1E1E"/>
          <w:sz w:val="22"/>
          <w:szCs w:val="22"/>
        </w:rPr>
        <w:t xml:space="preserve">1. </w:t>
      </w:r>
      <w:r>
        <w:rPr>
          <w:rFonts w:ascii="Arial" w:cs="Arial" w:eastAsia="Arial" w:hAnsi="Arial"/>
          <w:b/>
          <w:bCs/>
          <w:color w:val="1F1E1E"/>
          <w:sz w:val="22"/>
          <w:szCs w:val="22"/>
        </w:rPr>
        <w:t xml:space="preserve">Mission Alignment.</w:t>
      </w:r>
      <w:r>
        <w:rPr>
          <w:rFonts w:ascii="Arial" w:cs="Arial" w:eastAsia="Arial" w:hAnsi="Arial"/>
          <w:color w:val="1F1E1E"/>
          <w:sz w:val="22"/>
          <w:szCs w:val="22"/>
        </w:rPr>
        <w:t xml:space="preserve"> Does the partnership advance Holon Foundation's conservation mission? 2. </w:t>
      </w:r>
      <w:r>
        <w:rPr>
          <w:rFonts w:ascii="Arial" w:cs="Arial" w:eastAsia="Arial" w:hAnsi="Arial"/>
          <w:b/>
          <w:bCs/>
          <w:color w:val="1F1E1E"/>
          <w:sz w:val="22"/>
          <w:szCs w:val="22"/>
        </w:rPr>
        <w:t xml:space="preserve">Values Compatibility.</w:t>
      </w:r>
      <w:r>
        <w:rPr>
          <w:rFonts w:ascii="Arial" w:cs="Arial" w:eastAsia="Arial" w:hAnsi="Arial"/>
          <w:color w:val="1F1E1E"/>
          <w:sz w:val="22"/>
          <w:szCs w:val="22"/>
        </w:rPr>
        <w:t xml:space="preserve"> Does the partner organization share our commitment to integrity, stewardship, and community? 3. </w:t>
      </w:r>
      <w:r>
        <w:rPr>
          <w:rFonts w:ascii="Arial" w:cs="Arial" w:eastAsia="Arial" w:hAnsi="Arial"/>
          <w:b/>
          <w:bCs/>
          <w:color w:val="1F1E1E"/>
          <w:sz w:val="22"/>
          <w:szCs w:val="22"/>
        </w:rPr>
        <w:t xml:space="preserve">Reputation Risk.</w:t>
      </w:r>
      <w:r>
        <w:rPr>
          <w:rFonts w:ascii="Arial" w:cs="Arial" w:eastAsia="Arial" w:hAnsi="Arial"/>
          <w:color w:val="1F1E1E"/>
          <w:sz w:val="22"/>
          <w:szCs w:val="22"/>
        </w:rPr>
        <w:t xml:space="preserve"> Could the partnership create reputational risk for either party? 4. </w:t>
      </w:r>
      <w:r>
        <w:rPr>
          <w:rFonts w:ascii="Arial" w:cs="Arial" w:eastAsia="Arial" w:hAnsi="Arial"/>
          <w:b/>
          <w:bCs/>
          <w:color w:val="1F1E1E"/>
          <w:sz w:val="22"/>
          <w:szCs w:val="22"/>
        </w:rPr>
        <w:t xml:space="preserve">Financial Terms.</w:t>
      </w:r>
      <w:r>
        <w:rPr>
          <w:rFonts w:ascii="Arial" w:cs="Arial" w:eastAsia="Arial" w:hAnsi="Arial"/>
          <w:color w:val="1F1E1E"/>
          <w:sz w:val="22"/>
          <w:szCs w:val="22"/>
        </w:rPr>
        <w:t xml:space="preserve"> Are the financial terms fair, transparent, and sustainable? 5. </w:t>
      </w:r>
      <w:r>
        <w:rPr>
          <w:rFonts w:ascii="Arial" w:cs="Arial" w:eastAsia="Arial" w:hAnsi="Arial"/>
          <w:b/>
          <w:bCs/>
          <w:color w:val="1F1E1E"/>
          <w:sz w:val="22"/>
          <w:szCs w:val="22"/>
        </w:rPr>
        <w:t xml:space="preserve">Legal Compliance.</w:t>
      </w:r>
      <w:r>
        <w:rPr>
          <w:rFonts w:ascii="Arial" w:cs="Arial" w:eastAsia="Arial" w:hAnsi="Arial"/>
          <w:color w:val="1F1E1E"/>
          <w:sz w:val="22"/>
          <w:szCs w:val="22"/>
        </w:rPr>
        <w:t xml:space="preserve"> Does the partnership comply with all applicable laws and regulations? 6. </w:t>
      </w:r>
      <w:r>
        <w:rPr>
          <w:rFonts w:ascii="Arial" w:cs="Arial" w:eastAsia="Arial" w:hAnsi="Arial"/>
          <w:b/>
          <w:bCs/>
          <w:color w:val="1F1E1E"/>
          <w:sz w:val="22"/>
          <w:szCs w:val="22"/>
        </w:rPr>
        <w:t xml:space="preserve">Community Impact.</w:t>
      </w:r>
      <w:r>
        <w:rPr>
          <w:rFonts w:ascii="Arial" w:cs="Arial" w:eastAsia="Arial" w:hAnsi="Arial"/>
          <w:color w:val="1F1E1E"/>
          <w:sz w:val="22"/>
          <w:szCs w:val="22"/>
        </w:rPr>
        <w:t xml:space="preserve"> Will the partnership benefit the communities we serve?</w:t>
      </w:r>
    </w:p>
    <w:p>
      <w:pPr>
        <w:keepNext/>
        <w:spacing w:after="120" w:before="240"/>
      </w:pPr>
      <w:r>
        <w:rPr>
          <w:rFonts w:ascii="Arial" w:cs="Arial" w:eastAsia="Arial" w:hAnsi="Arial"/>
          <w:b/>
          <w:bCs/>
          <w:color w:val="3B5937"/>
          <w:sz w:val="22"/>
          <w:szCs w:val="22"/>
        </w:rPr>
        <w:t xml:space="preserve">Sanctions and Anti-Corruption Screening</w:t>
      </w:r>
    </w:p>
    <w:p>
      <w:pPr>
        <w:spacing w:after="120" w:before="60" w:line="320"/>
        <w:jc w:val="both"/>
      </w:pPr>
      <w:r>
        <w:rPr>
          <w:rFonts w:ascii="Arial" w:cs="Arial" w:eastAsia="Arial" w:hAnsi="Arial"/>
          <w:color w:val="1F1E1E"/>
          <w:sz w:val="22"/>
          <w:szCs w:val="22"/>
        </w:rPr>
        <w:t xml:space="preserve">All proposed partner organizations and their principal officers shall be screened against:</w:t>
      </w:r>
    </w:p>
    <w:p>
      <w:pPr>
        <w:spacing w:after="120" w:before="60" w:line="320"/>
        <w:jc w:val="both"/>
      </w:pPr>
      <w:r>
        <w:rPr>
          <w:rFonts w:ascii="Arial" w:cs="Arial" w:eastAsia="Arial" w:hAnsi="Arial"/>
          <w:color w:val="1F1E1E"/>
          <w:sz w:val="22"/>
          <w:szCs w:val="22"/>
        </w:rPr>
        <w:t xml:space="preserve">(a) the U.S. Treasury OFAC Specially Designated Nationals (SDN) list and other applicable U.S. sanctions lists, the UN Security Council Consolidated List, and the EU Consolidated List;</w:t>
      </w:r>
    </w:p>
    <w:p>
      <w:pPr>
        <w:spacing w:after="120" w:before="60" w:line="320"/>
        <w:jc w:val="both"/>
      </w:pPr>
      <w:r>
        <w:rPr>
          <w:rFonts w:ascii="Arial" w:cs="Arial" w:eastAsia="Arial" w:hAnsi="Arial"/>
          <w:color w:val="1F1E1E"/>
          <w:sz w:val="22"/>
          <w:szCs w:val="22"/>
        </w:rPr>
        <w:t xml:space="preserve">(b) public records for prior criminal convictions, civil findings, or enforcement actions material to integrity;</w:t>
      </w:r>
    </w:p>
    <w:p>
      <w:pPr>
        <w:spacing w:after="120" w:before="60" w:line="320"/>
        <w:jc w:val="both"/>
      </w:pPr>
      <w:r>
        <w:rPr>
          <w:rFonts w:ascii="Arial" w:cs="Arial" w:eastAsia="Arial" w:hAnsi="Arial"/>
          <w:color w:val="1F1E1E"/>
          <w:sz w:val="22"/>
          <w:szCs w:val="22"/>
        </w:rPr>
        <w:t xml:space="preserve">(c) for partners domiciled or operating in countries scoring below 50 on the Transparency International Corruption Perceptions Index, additional anti-corruption due diligence consistent with the U.S. Foreign Corrupt Practices Act, 15 U.S.C. §§ 78dd-1 et seq.</w:t>
      </w:r>
    </w:p>
    <w:p>
      <w:pPr>
        <w:spacing w:after="120" w:before="60" w:line="320"/>
        <w:jc w:val="both"/>
      </w:pPr>
      <w:r>
        <w:rPr>
          <w:rFonts w:ascii="Arial" w:cs="Arial" w:eastAsia="Arial" w:hAnsi="Arial"/>
          <w:color w:val="1F1E1E"/>
          <w:sz w:val="22"/>
          <w:szCs w:val="22"/>
        </w:rPr>
        <w:t xml:space="preserve">Screening shall be documented in the partnership file and refreshed annually or upon material change in the partner relationship.</w:t>
      </w:r>
    </w:p>
    <w:p>
      <w:pPr>
        <w:keepNext/>
        <w:spacing w:after="160" w:before="360"/>
      </w:pPr>
      <w:r>
        <w:rPr>
          <w:rFonts w:ascii="Arial" w:cs="Arial" w:eastAsia="Arial" w:hAnsi="Arial"/>
          <w:b/>
          <w:bCs/>
          <w:color w:val="561217"/>
          <w:sz w:val="26"/>
          <w:szCs w:val="26"/>
        </w:rPr>
        <w:t xml:space="preserve">Approval Process</w:t>
      </w:r>
    </w:p>
    <w:p>
      <w:pPr>
        <w:pStyle w:val="ListParagraph"/>
        <w:numPr>
          <w:ilvl w:val="0"/>
          <w:numId w:val="2"/>
        </w:numPr>
        <w:spacing w:after="40" w:before="40" w:line="300"/>
      </w:pPr>
      <w:r>
        <w:rPr>
          <w:rFonts w:ascii="Arial" w:cs="Arial" w:eastAsia="Arial" w:hAnsi="Arial"/>
          <w:b/>
          <w:bCs/>
          <w:color w:val="1F1E1E"/>
          <w:sz w:val="22"/>
          <w:szCs w:val="22"/>
        </w:rPr>
        <w:t xml:space="preserve">Community Partnerships.</w:t>
      </w:r>
      <w:r>
        <w:rPr>
          <w:rFonts w:ascii="Arial" w:cs="Arial" w:eastAsia="Arial" w:hAnsi="Arial"/>
          <w:color w:val="1F1E1E"/>
          <w:sz w:val="22"/>
          <w:szCs w:val="22"/>
        </w:rPr>
        <w:t xml:space="preserve"> Approved by the Executive Director.</w:t>
      </w:r>
    </w:p>
    <w:p>
      <w:pPr>
        <w:pStyle w:val="ListParagraph"/>
        <w:numPr>
          <w:ilvl w:val="0"/>
          <w:numId w:val="2"/>
        </w:numPr>
        <w:spacing w:after="40" w:before="40" w:line="300"/>
      </w:pPr>
      <w:r>
        <w:rPr>
          <w:rFonts w:ascii="Arial" w:cs="Arial" w:eastAsia="Arial" w:hAnsi="Arial"/>
          <w:b/>
          <w:bCs/>
          <w:color w:val="1F1E1E"/>
          <w:sz w:val="22"/>
          <w:szCs w:val="22"/>
        </w:rPr>
        <w:t xml:space="preserve">Program and Research Partnerships.</w:t>
      </w:r>
      <w:r>
        <w:rPr>
          <w:rFonts w:ascii="Arial" w:cs="Arial" w:eastAsia="Arial" w:hAnsi="Arial"/>
          <w:color w:val="1F1E1E"/>
          <w:sz w:val="22"/>
          <w:szCs w:val="22"/>
        </w:rPr>
        <w:t xml:space="preserve"> Approved by the Programs Committee with ED recommendation.</w:t>
      </w:r>
    </w:p>
    <w:p>
      <w:pPr>
        <w:pStyle w:val="ListParagraph"/>
        <w:numPr>
          <w:ilvl w:val="0"/>
          <w:numId w:val="2"/>
        </w:numPr>
        <w:spacing w:after="40" w:before="40" w:line="300"/>
      </w:pPr>
      <w:r>
        <w:rPr>
          <w:rFonts w:ascii="Arial" w:cs="Arial" w:eastAsia="Arial" w:hAnsi="Arial"/>
          <w:b/>
          <w:bCs/>
          <w:color w:val="1F1E1E"/>
          <w:sz w:val="22"/>
          <w:szCs w:val="22"/>
        </w:rPr>
        <w:t xml:space="preserve">Funding and Technology Partnerships.</w:t>
      </w:r>
      <w:r>
        <w:rPr>
          <w:rFonts w:ascii="Arial" w:cs="Arial" w:eastAsia="Arial" w:hAnsi="Arial"/>
          <w:color w:val="1F1E1E"/>
          <w:sz w:val="22"/>
          <w:szCs w:val="22"/>
        </w:rPr>
        <w:t xml:space="preserve"> Approved by the Finance Committee with ED recommendation.</w:t>
      </w:r>
    </w:p>
    <w:p>
      <w:pPr>
        <w:pStyle w:val="ListParagraph"/>
        <w:numPr>
          <w:ilvl w:val="0"/>
          <w:numId w:val="2"/>
        </w:numPr>
        <w:spacing w:after="40" w:before="40" w:line="300"/>
      </w:pPr>
      <w:r>
        <w:rPr>
          <w:rFonts w:ascii="Arial" w:cs="Arial" w:eastAsia="Arial" w:hAnsi="Arial"/>
          <w:b/>
          <w:bCs/>
          <w:color w:val="1F1E1E"/>
          <w:sz w:val="22"/>
          <w:szCs w:val="22"/>
        </w:rPr>
        <w:t xml:space="preserve">Partnerships involving $25,000 or more, or multi-year commitments.</w:t>
      </w:r>
      <w:r>
        <w:rPr>
          <w:rFonts w:ascii="Arial" w:cs="Arial" w:eastAsia="Arial" w:hAnsi="Arial"/>
          <w:color w:val="1F1E1E"/>
          <w:sz w:val="22"/>
          <w:szCs w:val="22"/>
        </w:rPr>
        <w:t xml:space="preserve"> Require full board approval.</w:t>
      </w:r>
    </w:p>
    <w:p>
      <w:pPr>
        <w:pStyle w:val="ListParagraph"/>
        <w:numPr>
          <w:ilvl w:val="0"/>
          <w:numId w:val="2"/>
        </w:numPr>
        <w:spacing w:after="40" w:before="40" w:line="300"/>
      </w:pPr>
      <w:r>
        <w:rPr>
          <w:rFonts w:ascii="Arial" w:cs="Arial" w:eastAsia="Arial" w:hAnsi="Arial"/>
          <w:color w:val="1F1E1E"/>
          <w:sz w:val="22"/>
          <w:szCs w:val="22"/>
        </w:rPr>
        <w:t xml:space="preserve">All partnerships must have a written agreement outlining roles, responsibilities, duration, and termination provisions (see Minimum Contract Terms).</w:t>
      </w:r>
    </w:p>
    <w:p>
      <w:pPr>
        <w:keepNext/>
        <w:spacing w:after="120" w:before="240"/>
      </w:pPr>
      <w:r>
        <w:rPr>
          <w:rFonts w:ascii="Arial" w:cs="Arial" w:eastAsia="Arial" w:hAnsi="Arial"/>
          <w:b/>
          <w:bCs/>
          <w:color w:val="3B5937"/>
          <w:sz w:val="22"/>
          <w:szCs w:val="22"/>
        </w:rPr>
        <w:t xml:space="preserve">Joint Ventures and Fiscal Sponsorship</w:t>
      </w:r>
    </w:p>
    <w:p>
      <w:pPr>
        <w:spacing w:after="120" w:before="60" w:line="320"/>
        <w:jc w:val="both"/>
      </w:pPr>
      <w:r>
        <w:rPr>
          <w:rFonts w:ascii="Arial" w:cs="Arial" w:eastAsia="Arial" w:hAnsi="Arial"/>
          <w:b/>
          <w:bCs/>
          <w:color w:val="1F1E1E"/>
          <w:sz w:val="22"/>
          <w:szCs w:val="22"/>
        </w:rPr>
        <w:t xml:space="preserve">(a) Joint Ventures with For-Profit Entities.</w:t>
      </w:r>
      <w:r>
        <w:rPr>
          <w:rFonts w:ascii="Arial" w:cs="Arial" w:eastAsia="Arial" w:hAnsi="Arial"/>
          <w:color w:val="1F1E1E"/>
          <w:sz w:val="22"/>
          <w:szCs w:val="22"/>
        </w:rPr>
        <w:t xml:space="preserve"> Before entering into any joint venture, partnership, or LLC with a for-profit entity, the Board shall:</w:t>
      </w:r>
    </w:p>
    <w:p>
      <w:pPr>
        <w:spacing w:after="120" w:before="60" w:line="320"/>
        <w:jc w:val="both"/>
      </w:pPr>
      <w:r>
        <w:rPr>
          <w:rFonts w:ascii="Arial" w:cs="Arial" w:eastAsia="Arial" w:hAnsi="Arial"/>
          <w:color w:val="1F1E1E"/>
          <w:sz w:val="22"/>
          <w:szCs w:val="22"/>
        </w:rPr>
        <w:t xml:space="preserve">   (i) confirm the Foundation retains ultimate control over the charitable activities;</w:t>
      </w:r>
    </w:p>
    <w:p>
      <w:pPr>
        <w:spacing w:after="120" w:before="60" w:line="320"/>
        <w:jc w:val="both"/>
      </w:pPr>
      <w:r>
        <w:rPr>
          <w:rFonts w:ascii="Arial" w:cs="Arial" w:eastAsia="Arial" w:hAnsi="Arial"/>
          <w:color w:val="1F1E1E"/>
          <w:sz w:val="22"/>
          <w:szCs w:val="22"/>
        </w:rPr>
        <w:t xml:space="preserve">   (ii) ensure venture documents require the Foundation's representatives to give priority to charitable purposes over profit maximization;</w:t>
      </w:r>
    </w:p>
    <w:p>
      <w:pPr>
        <w:spacing w:after="120" w:before="60" w:line="320"/>
        <w:jc w:val="both"/>
      </w:pPr>
      <w:r>
        <w:rPr>
          <w:rFonts w:ascii="Arial" w:cs="Arial" w:eastAsia="Arial" w:hAnsi="Arial"/>
          <w:color w:val="1F1E1E"/>
          <w:sz w:val="22"/>
          <w:szCs w:val="22"/>
        </w:rPr>
        <w:t xml:space="preserve">   (iii) limit Foundation contributions to amounts consistent with the venture's charitable purposes; and</w:t>
      </w:r>
    </w:p>
    <w:p>
      <w:pPr>
        <w:spacing w:after="120" w:before="60" w:line="320"/>
        <w:jc w:val="both"/>
      </w:pPr>
      <w:r>
        <w:rPr>
          <w:rFonts w:ascii="Arial" w:cs="Arial" w:eastAsia="Arial" w:hAnsi="Arial"/>
          <w:color w:val="1F1E1E"/>
          <w:sz w:val="22"/>
          <w:szCs w:val="22"/>
        </w:rPr>
        <w:t xml:space="preserve">   (iv) require an annual report on the venture's compliance with these principles.</w:t>
      </w:r>
    </w:p>
    <w:p>
      <w:pPr>
        <w:spacing w:after="120" w:before="60" w:line="320"/>
        <w:jc w:val="both"/>
      </w:pPr>
      <w:r>
        <w:rPr>
          <w:rFonts w:ascii="Arial" w:cs="Arial" w:eastAsia="Arial" w:hAnsi="Arial"/>
          <w:color w:val="1F1E1E"/>
          <w:sz w:val="22"/>
          <w:szCs w:val="22"/>
        </w:rPr>
        <w:t xml:space="preserve">This procedure is consistent with the principles articulated in Rev. Rul. 98-15 and Rev. Rul. 2004-51.</w:t>
      </w:r>
    </w:p>
    <w:p>
      <w:pPr>
        <w:spacing w:after="120" w:before="60" w:line="320"/>
        <w:jc w:val="both"/>
      </w:pPr>
      <w:r>
        <w:rPr>
          <w:rFonts w:ascii="Arial" w:cs="Arial" w:eastAsia="Arial" w:hAnsi="Arial"/>
          <w:b/>
          <w:bCs/>
          <w:color w:val="1F1E1E"/>
          <w:sz w:val="22"/>
          <w:szCs w:val="22"/>
        </w:rPr>
        <w:t xml:space="preserve">(b) Fiscal Sponsorship.</w:t>
      </w:r>
      <w:r>
        <w:rPr>
          <w:rFonts w:ascii="Arial" w:cs="Arial" w:eastAsia="Arial" w:hAnsi="Arial"/>
          <w:color w:val="1F1E1E"/>
          <w:sz w:val="22"/>
          <w:szCs w:val="22"/>
        </w:rPr>
        <w:t xml:space="preserve"> The Foundation may serve as fiscal sponsor for unincorporated projects whose purposes align with its mission only with Board approval, a written fiscal-sponsorship agreement (Model A or Model C per National Network of Fiscal Sponsors guidance), and assurances that the Foundation retains discretion and control over expenditures consistent with IRC § 501(c)(3) and Rev. Rul. 68-489.</w:t>
      </w:r>
    </w:p>
    <w:p>
      <w:pPr>
        <w:spacing w:after="120" w:before="60" w:line="320"/>
        <w:jc w:val="both"/>
      </w:pPr>
      <w:r>
        <w:rPr>
          <w:rFonts w:ascii="Arial" w:cs="Arial" w:eastAsia="Arial" w:hAnsi="Arial"/>
          <w:b/>
          <w:bCs/>
          <w:color w:val="1F1E1E"/>
          <w:sz w:val="22"/>
          <w:szCs w:val="22"/>
        </w:rPr>
        <w:t xml:space="preserve">(c) Form 990 Disclosures.</w:t>
      </w:r>
      <w:r>
        <w:rPr>
          <w:rFonts w:ascii="Arial" w:cs="Arial" w:eastAsia="Arial" w:hAnsi="Arial"/>
          <w:color w:val="1F1E1E"/>
          <w:sz w:val="22"/>
          <w:szCs w:val="22"/>
        </w:rPr>
        <w:t xml:space="preserve"> The Treasurer shall ensure all reportable joint ventures and sponsored projects are disclosed on Form 990 Part VI Line 16 and Schedule R as required.</w:t>
      </w:r>
    </w:p>
    <w:p>
      <w:pPr>
        <w:keepNext/>
        <w:spacing w:after="120" w:before="240"/>
      </w:pPr>
      <w:r>
        <w:rPr>
          <w:rFonts w:ascii="Arial" w:cs="Arial" w:eastAsia="Arial" w:hAnsi="Arial"/>
          <w:b/>
          <w:bCs/>
          <w:color w:val="3B5937"/>
          <w:sz w:val="22"/>
          <w:szCs w:val="22"/>
        </w:rPr>
        <w:t xml:space="preserve">Sponsorship and UBIT</w:t>
      </w:r>
    </w:p>
    <w:p>
      <w:pPr>
        <w:spacing w:after="120" w:before="60" w:line="320"/>
        <w:jc w:val="both"/>
      </w:pPr>
      <w:r>
        <w:rPr>
          <w:rFonts w:ascii="Arial" w:cs="Arial" w:eastAsia="Arial" w:hAnsi="Arial"/>
          <w:color w:val="1F1E1E"/>
          <w:sz w:val="22"/>
          <w:szCs w:val="22"/>
        </w:rPr>
        <w:t xml:space="preserve">For corporate-sponsorship payments, the Foundation shall structure arrangements to qualify as "qualified sponsorship payments" exempt from unrelated business income tax under IRC § 513(i): the sponsor's name, logo, and value-neutral description may be acknowledged in Foundation publications, but the Foundation shall not provide advertising (price information, endorsements, calls to action, or comparative claims) in exchange.</w:t>
      </w:r>
    </w:p>
    <w:p>
      <w:pPr>
        <w:spacing w:after="120" w:before="60" w:line="320"/>
        <w:jc w:val="both"/>
      </w:pPr>
      <w:r>
        <w:rPr>
          <w:rFonts w:ascii="Arial" w:cs="Arial" w:eastAsia="Arial" w:hAnsi="Arial"/>
          <w:color w:val="1F1E1E"/>
          <w:sz w:val="22"/>
          <w:szCs w:val="22"/>
        </w:rPr>
        <w:t xml:space="preserve">Any cause-marketing, licensing, or revenue-sharing arrangement shall be reviewed by the Treasurer for UBIT exposure and reported on Form 990-T as required by IRC § 511.</w:t>
      </w:r>
    </w:p>
    <w:p>
      <w:pPr>
        <w:keepNext/>
        <w:spacing w:after="120" w:before="240"/>
      </w:pPr>
      <w:r>
        <w:rPr>
          <w:rFonts w:ascii="Arial" w:cs="Arial" w:eastAsia="Arial" w:hAnsi="Arial"/>
          <w:b/>
          <w:bCs/>
          <w:color w:val="3B5937"/>
          <w:sz w:val="22"/>
          <w:szCs w:val="22"/>
        </w:rPr>
        <w:t xml:space="preserve">Minimum Contract Terms</w:t>
      </w:r>
    </w:p>
    <w:p>
      <w:pPr>
        <w:spacing w:after="120" w:before="60" w:line="320"/>
        <w:jc w:val="both"/>
      </w:pPr>
      <w:r>
        <w:rPr>
          <w:rFonts w:ascii="Arial" w:cs="Arial" w:eastAsia="Arial" w:hAnsi="Arial"/>
          <w:color w:val="1F1E1E"/>
          <w:sz w:val="22"/>
          <w:szCs w:val="22"/>
        </w:rPr>
        <w:t xml:space="preserve">All partnership agreements shall include, at a minimum:</w:t>
      </w:r>
    </w:p>
    <w:p>
      <w:pPr>
        <w:spacing w:after="120" w:before="60" w:line="320"/>
        <w:jc w:val="both"/>
      </w:pPr>
      <w:r>
        <w:rPr>
          <w:rFonts w:ascii="Arial" w:cs="Arial" w:eastAsia="Arial" w:hAnsi="Arial"/>
          <w:color w:val="1F1E1E"/>
          <w:sz w:val="22"/>
          <w:szCs w:val="22"/>
        </w:rPr>
        <w:t xml:space="preserve">(a) scope of work and deliverables; (b) duration and renewal terms; (c) financial terms with clear payment milestones; (d) intellectual property ownership and license grants; (e) mutual indemnification proportionate to risk; (f) insurance requirements with the Foundation named as additional insured where appropriate (recommended minimums: $1M commercial general liability, $1M professional liability, $1M cyber where data is exchanged); (g) confidentiality terms consistent with Holon Foundation Policy No. 09; (h) data-sharing terms consistent with Holon Foundation Policy No. 15 (including required GDPR Article 28 terms for any EU data); (i) termination for convenience (90 days) and for cause (30 days for material breach); (j) governing law of the State of Texas and venue in Harris County, Texas.</w:t>
      </w:r>
    </w:p>
    <w:p>
      <w:pPr>
        <w:keepNext/>
        <w:spacing w:after="160" w:before="360"/>
      </w:pPr>
      <w:r>
        <w:rPr>
          <w:rFonts w:ascii="Arial" w:cs="Arial" w:eastAsia="Arial" w:hAnsi="Arial"/>
          <w:b/>
          <w:bCs/>
          <w:color w:val="561217"/>
          <w:sz w:val="26"/>
          <w:szCs w:val="26"/>
        </w:rPr>
        <w:t xml:space="preserve">Ongoing Management</w:t>
      </w:r>
    </w:p>
    <w:p>
      <w:pPr>
        <w:pStyle w:val="ListParagraph"/>
        <w:numPr>
          <w:ilvl w:val="0"/>
          <w:numId w:val="2"/>
        </w:numPr>
        <w:spacing w:after="40" w:before="40" w:line="300"/>
      </w:pPr>
      <w:r>
        <w:rPr>
          <w:rFonts w:ascii="Arial" w:cs="Arial" w:eastAsia="Arial" w:hAnsi="Arial"/>
          <w:color w:val="1F1E1E"/>
          <w:sz w:val="22"/>
          <w:szCs w:val="22"/>
        </w:rPr>
        <w:t xml:space="preserve">Each partnership has a designated Foundation liaison responsible for relationship management.</w:t>
      </w:r>
    </w:p>
    <w:p>
      <w:pPr>
        <w:pStyle w:val="ListParagraph"/>
        <w:numPr>
          <w:ilvl w:val="0"/>
          <w:numId w:val="2"/>
        </w:numPr>
        <w:spacing w:after="40" w:before="40" w:line="300"/>
      </w:pPr>
      <w:r>
        <w:rPr>
          <w:rFonts w:ascii="Arial" w:cs="Arial" w:eastAsia="Arial" w:hAnsi="Arial"/>
          <w:color w:val="1F1E1E"/>
          <w:sz w:val="22"/>
          <w:szCs w:val="22"/>
        </w:rPr>
        <w:t xml:space="preserve">Partnership outcomes are reviewed annually against original objectives.</w:t>
      </w:r>
    </w:p>
    <w:p>
      <w:pPr>
        <w:pStyle w:val="ListParagraph"/>
        <w:numPr>
          <w:ilvl w:val="0"/>
          <w:numId w:val="2"/>
        </w:numPr>
        <w:spacing w:after="40" w:before="40" w:line="300"/>
      </w:pPr>
      <w:r>
        <w:rPr>
          <w:rFonts w:ascii="Arial" w:cs="Arial" w:eastAsia="Arial" w:hAnsi="Arial"/>
          <w:color w:val="1F1E1E"/>
          <w:sz w:val="22"/>
          <w:szCs w:val="22"/>
        </w:rPr>
        <w:t xml:space="preserve">Either party may terminate the partnership with 90 days written notice unless otherwise specified.</w:t>
      </w:r>
    </w:p>
    <w:p>
      <w:pPr>
        <w:pStyle w:val="ListParagraph"/>
        <w:numPr>
          <w:ilvl w:val="0"/>
          <w:numId w:val="2"/>
        </w:numPr>
        <w:spacing w:after="40" w:before="40" w:line="300"/>
      </w:pPr>
      <w:r>
        <w:rPr>
          <w:rFonts w:ascii="Arial" w:cs="Arial" w:eastAsia="Arial" w:hAnsi="Arial"/>
          <w:color w:val="1F1E1E"/>
          <w:sz w:val="22"/>
          <w:szCs w:val="22"/>
        </w:rPr>
        <w:t xml:space="preserve">Partnership concerns are escalated to the appropriate committee or the full board.</w:t>
      </w:r>
    </w:p>
    <w:p>
      <w:pPr>
        <w:keepNext/>
        <w:spacing w:after="120" w:before="240"/>
      </w:pPr>
      <w:r>
        <w:rPr>
          <w:rFonts w:ascii="Arial" w:cs="Arial" w:eastAsia="Arial" w:hAnsi="Arial"/>
          <w:b/>
          <w:bCs/>
          <w:color w:val="3B5937"/>
          <w:sz w:val="22"/>
          <w:szCs w:val="22"/>
        </w:rPr>
        <w:t xml:space="preserve">Early-Review Triggers</w:t>
      </w:r>
    </w:p>
    <w:p>
      <w:pPr>
        <w:spacing w:after="120" w:before="60" w:line="320"/>
        <w:jc w:val="both"/>
      </w:pPr>
      <w:r>
        <w:rPr>
          <w:rFonts w:ascii="Arial" w:cs="Arial" w:eastAsia="Arial" w:hAnsi="Arial"/>
          <w:color w:val="1F1E1E"/>
          <w:sz w:val="22"/>
          <w:szCs w:val="22"/>
        </w:rPr>
        <w:t xml:space="preserve">Annual review notwithstanding, a partnership shall be reviewed immediately upon:</w:t>
      </w:r>
    </w:p>
    <w:p>
      <w:pPr>
        <w:spacing w:after="120" w:before="60" w:line="320"/>
        <w:jc w:val="both"/>
      </w:pPr>
      <w:r>
        <w:rPr>
          <w:rFonts w:ascii="Arial" w:cs="Arial" w:eastAsia="Arial" w:hAnsi="Arial"/>
          <w:color w:val="1F1E1E"/>
          <w:sz w:val="22"/>
          <w:szCs w:val="22"/>
        </w:rPr>
        <w:t xml:space="preserve">(a) the partner organization filing for bankruptcy or insolvency proceedings; (b) the partner becoming subject to government investigation, indictment, or material civil claim; (c) departure of the partner's executive director or comparable leader; (d) material divergence between partner positions and Foundation values; or (e) any complaint received through the Whistleblower channel (Holon Foundation Policy No. 05) implicating the partnership.</w:t>
      </w:r>
    </w:p>
    <w:p>
      <w:pPr>
        <w:keepNext/>
        <w:spacing w:after="120" w:before="240"/>
      </w:pPr>
      <w:r>
        <w:rPr>
          <w:rFonts w:ascii="Arial" w:cs="Arial" w:eastAsia="Arial" w:hAnsi="Arial"/>
          <w:b/>
          <w:bCs/>
          <w:color w:val="3B5937"/>
          <w:sz w:val="22"/>
          <w:szCs w:val="22"/>
        </w:rPr>
        <w:t xml:space="preserve">Exit Debrief</w:t>
      </w:r>
    </w:p>
    <w:p>
      <w:pPr>
        <w:spacing w:after="120" w:before="60" w:line="320"/>
        <w:jc w:val="both"/>
      </w:pPr>
      <w:r>
        <w:rPr>
          <w:rFonts w:ascii="Arial" w:cs="Arial" w:eastAsia="Arial" w:hAnsi="Arial"/>
          <w:color w:val="1F1E1E"/>
          <w:sz w:val="22"/>
          <w:szCs w:val="22"/>
        </w:rPr>
        <w:t xml:space="preserve">Upon termination of any partnership, the designated liaison shall complete an exit debrief documenting outcomes against original objectives, lessons learned, financial accounting, return or destruction of shared materials, and recommendations for future partnerships of similar type.</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16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16  ·  PARTNERSHIP AND AFFILIATION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and Affiliation Policy</dc:title>
  <dc:creator>Holon Foundation</dc:creator>
  <dc:description>Holon Foundation — Policy No. 16</dc:description>
  <cp:lastModifiedBy>Un-named</cp:lastModifiedBy>
  <cp:revision>1</cp:revision>
  <dcterms:created xsi:type="dcterms:W3CDTF">2026-05-21T02:41:41.952Z</dcterms:created>
  <dcterms:modified xsi:type="dcterms:W3CDTF">2026-05-21T02:41:41.952Z</dcterms:modified>
</cp:coreProperties>
</file>

<file path=docProps/custom.xml><?xml version="1.0" encoding="utf-8"?>
<Properties xmlns="http://schemas.openxmlformats.org/officeDocument/2006/custom-properties" xmlns:vt="http://schemas.openxmlformats.org/officeDocument/2006/docPropsVTypes"/>
</file>