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15</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Data Privacy and Security Policy</w:t>
      </w:r>
    </w:p>
    <w:p>
      <w:pPr>
        <w:spacing w:after="0" w:before="0"/>
        <w:jc w:val="center"/>
      </w:pPr>
      <w:r>
        <w:rPr>
          <w:rFonts w:ascii="Arial" w:cs="Arial" w:eastAsia="Arial" w:hAnsi="Arial"/>
          <w:i/>
          <w:iCs/>
          <w:color w:val="4A4A4A"/>
          <w:sz w:val="20"/>
          <w:szCs w:val="20"/>
        </w:rPr>
        <w:t xml:space="preserve">Holon Foundation — Policy No. 15</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Lawful Basis section under GDPR Article 6, identifying contract, legal obligation, legitimate interests, and consent grounds; closes the principal EU enforcement gap.</w:t>
      </w:r>
    </w:p>
    <w:p>
      <w:pPr>
        <w:pStyle w:val="ListParagraph"/>
        <w:numPr>
          <w:ilvl w:val="0"/>
          <w:numId w:val="2"/>
        </w:numPr>
        <w:spacing w:after="40" w:before="40" w:line="300"/>
      </w:pPr>
      <w:r>
        <w:rPr>
          <w:rFonts w:ascii="Arial" w:cs="Arial" w:eastAsia="Arial" w:hAnsi="Arial"/>
          <w:color w:val="1F1E1E"/>
          <w:sz w:val="22"/>
          <w:szCs w:val="22"/>
        </w:rPr>
        <w:t xml:space="preserve">Restructured Data Breach Response to separate Texas (60 days, § 521.053), GDPR regulator (72 hours, Art. 33), and individual-notice timelines, with Texas AG and consumer-reporting-agency triggers.</w:t>
      </w:r>
    </w:p>
    <w:p>
      <w:pPr>
        <w:pStyle w:val="ListParagraph"/>
        <w:numPr>
          <w:ilvl w:val="0"/>
          <w:numId w:val="2"/>
        </w:numPr>
        <w:spacing w:after="40" w:before="40" w:line="300"/>
      </w:pPr>
      <w:r>
        <w:rPr>
          <w:rFonts w:ascii="Arial" w:cs="Arial" w:eastAsia="Arial" w:hAnsi="Arial"/>
          <w:color w:val="1F1E1E"/>
          <w:sz w:val="22"/>
          <w:szCs w:val="22"/>
        </w:rPr>
        <w:t xml:space="preserve">Added Deletion Procedure (GDPR Art. 17) with one-month response, identity verification, and tax-substantiation carve-out.</w:t>
      </w:r>
    </w:p>
    <w:p>
      <w:pPr>
        <w:pStyle w:val="ListParagraph"/>
        <w:numPr>
          <w:ilvl w:val="0"/>
          <w:numId w:val="2"/>
        </w:numPr>
        <w:spacing w:after="40" w:before="40" w:line="300"/>
      </w:pPr>
      <w:r>
        <w:rPr>
          <w:rFonts w:ascii="Arial" w:cs="Arial" w:eastAsia="Arial" w:hAnsi="Arial"/>
          <w:color w:val="1F1E1E"/>
          <w:sz w:val="22"/>
          <w:szCs w:val="22"/>
        </w:rPr>
        <w:t xml:space="preserve">Added Minor Users section under Texas SCOPE Act (Bus. &amp; Com. Code Ch. 509) and COPPA, with default-privacy and targeted-advertising prohibition.</w:t>
      </w:r>
    </w:p>
    <w:p>
      <w:pPr>
        <w:pStyle w:val="ListParagraph"/>
        <w:numPr>
          <w:ilvl w:val="0"/>
          <w:numId w:val="2"/>
        </w:numPr>
        <w:spacing w:after="40" w:before="40" w:line="300"/>
      </w:pPr>
      <w:r>
        <w:rPr>
          <w:rFonts w:ascii="Arial" w:cs="Arial" w:eastAsia="Arial" w:hAnsi="Arial"/>
          <w:color w:val="1F1E1E"/>
          <w:sz w:val="22"/>
          <w:szCs w:val="22"/>
        </w:rPr>
        <w:t xml:space="preserve">Added Sub-Processors and International Transfers section invoking GDPR Art. 28 and Standard Contractual Clauses post-Schrems II, with link to the published Sub-Processors list.</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Holon Foundation's commitment to protecting the personal data of garden stewards, donors, board members, staff, volunteers, and all individuals who interact with our platforms and programs. It ensures compliance with applicable privacy laws and builds trust with our community.</w:t>
      </w:r>
    </w:p>
    <w:p>
      <w:pPr>
        <w:keepNext/>
        <w:spacing w:after="160" w:before="360"/>
      </w:pPr>
      <w:r>
        <w:rPr>
          <w:rFonts w:ascii="Arial" w:cs="Arial" w:eastAsia="Arial" w:hAnsi="Arial"/>
          <w:b/>
          <w:bCs/>
          <w:color w:val="561217"/>
          <w:sz w:val="26"/>
          <w:szCs w:val="26"/>
        </w:rPr>
        <w:t xml:space="preserve">Data We Collect</w:t>
      </w:r>
    </w:p>
    <w:p>
      <w:pPr>
        <w:pStyle w:val="ListParagraph"/>
        <w:numPr>
          <w:ilvl w:val="0"/>
          <w:numId w:val="2"/>
        </w:numPr>
        <w:spacing w:after="40" w:before="40" w:line="300"/>
      </w:pPr>
      <w:r>
        <w:rPr>
          <w:rFonts w:ascii="Arial" w:cs="Arial" w:eastAsia="Arial" w:hAnsi="Arial"/>
          <w:b/>
          <w:bCs/>
          <w:color w:val="1F1E1E"/>
          <w:sz w:val="22"/>
          <w:szCs w:val="22"/>
        </w:rPr>
        <w:t xml:space="preserve">Personal identification.</w:t>
      </w:r>
      <w:r>
        <w:rPr>
          <w:rFonts w:ascii="Arial" w:cs="Arial" w:eastAsia="Arial" w:hAnsi="Arial"/>
          <w:color w:val="1F1E1E"/>
          <w:sz w:val="22"/>
          <w:szCs w:val="22"/>
        </w:rPr>
        <w:t xml:space="preserve"> Name, email, phone, address.</w:t>
      </w:r>
    </w:p>
    <w:p>
      <w:pPr>
        <w:pStyle w:val="ListParagraph"/>
        <w:numPr>
          <w:ilvl w:val="0"/>
          <w:numId w:val="2"/>
        </w:numPr>
        <w:spacing w:after="40" w:before="40" w:line="300"/>
      </w:pPr>
      <w:r>
        <w:rPr>
          <w:rFonts w:ascii="Arial" w:cs="Arial" w:eastAsia="Arial" w:hAnsi="Arial"/>
          <w:b/>
          <w:bCs/>
          <w:color w:val="1F1E1E"/>
          <w:sz w:val="22"/>
          <w:szCs w:val="22"/>
        </w:rPr>
        <w:t xml:space="preserve">Garden and conservation data.</w:t>
      </w:r>
      <w:r>
        <w:rPr>
          <w:rFonts w:ascii="Arial" w:cs="Arial" w:eastAsia="Arial" w:hAnsi="Arial"/>
          <w:color w:val="1F1E1E"/>
          <w:sz w:val="22"/>
          <w:szCs w:val="22"/>
        </w:rPr>
        <w:t xml:space="preserve"> Location, species, photos, impact metrics.</w:t>
      </w:r>
    </w:p>
    <w:p>
      <w:pPr>
        <w:pStyle w:val="ListParagraph"/>
        <w:numPr>
          <w:ilvl w:val="0"/>
          <w:numId w:val="2"/>
        </w:numPr>
        <w:spacing w:after="40" w:before="40" w:line="300"/>
      </w:pPr>
      <w:r>
        <w:rPr>
          <w:rFonts w:ascii="Arial" w:cs="Arial" w:eastAsia="Arial" w:hAnsi="Arial"/>
          <w:b/>
          <w:bCs/>
          <w:color w:val="1F1E1E"/>
          <w:sz w:val="22"/>
          <w:szCs w:val="22"/>
        </w:rPr>
        <w:t xml:space="preserve">Financial data.</w:t>
      </w:r>
      <w:r>
        <w:rPr>
          <w:rFonts w:ascii="Arial" w:cs="Arial" w:eastAsia="Arial" w:hAnsi="Arial"/>
          <w:color w:val="1F1E1E"/>
          <w:sz w:val="22"/>
          <w:szCs w:val="22"/>
        </w:rPr>
        <w:t xml:space="preserve"> Donation history, payment methods (processed through secure third-party providers).</w:t>
      </w:r>
    </w:p>
    <w:p>
      <w:pPr>
        <w:pStyle w:val="ListParagraph"/>
        <w:numPr>
          <w:ilvl w:val="0"/>
          <w:numId w:val="2"/>
        </w:numPr>
        <w:spacing w:after="40" w:before="40" w:line="300"/>
      </w:pPr>
      <w:r>
        <w:rPr>
          <w:rFonts w:ascii="Arial" w:cs="Arial" w:eastAsia="Arial" w:hAnsi="Arial"/>
          <w:b/>
          <w:bCs/>
          <w:color w:val="1F1E1E"/>
          <w:sz w:val="22"/>
          <w:szCs w:val="22"/>
        </w:rPr>
        <w:t xml:space="preserve">Usage data.</w:t>
      </w:r>
      <w:r>
        <w:rPr>
          <w:rFonts w:ascii="Arial" w:cs="Arial" w:eastAsia="Arial" w:hAnsi="Arial"/>
          <w:color w:val="1F1E1E"/>
          <w:sz w:val="22"/>
          <w:szCs w:val="22"/>
        </w:rPr>
        <w:t xml:space="preserve"> Platform interactions, verification activity, login history.</w:t>
      </w:r>
    </w:p>
    <w:p>
      <w:pPr>
        <w:pStyle w:val="ListParagraph"/>
        <w:numPr>
          <w:ilvl w:val="0"/>
          <w:numId w:val="2"/>
        </w:numPr>
        <w:spacing w:after="40" w:before="40" w:line="300"/>
      </w:pPr>
      <w:r>
        <w:rPr>
          <w:rFonts w:ascii="Arial" w:cs="Arial" w:eastAsia="Arial" w:hAnsi="Arial"/>
          <w:b/>
          <w:bCs/>
          <w:color w:val="1F1E1E"/>
          <w:sz w:val="22"/>
          <w:szCs w:val="22"/>
        </w:rPr>
        <w:t xml:space="preserve">Board governance data.</w:t>
      </w:r>
      <w:r>
        <w:rPr>
          <w:rFonts w:ascii="Arial" w:cs="Arial" w:eastAsia="Arial" w:hAnsi="Arial"/>
          <w:color w:val="1F1E1E"/>
          <w:sz w:val="22"/>
          <w:szCs w:val="22"/>
        </w:rPr>
        <w:t xml:space="preserve"> Meeting attendance, voting records, disclosure forms.</w:t>
      </w:r>
    </w:p>
    <w:p>
      <w:pPr>
        <w:keepNext/>
        <w:spacing w:after="160" w:before="360"/>
      </w:pPr>
      <w:r>
        <w:rPr>
          <w:rFonts w:ascii="Arial" w:cs="Arial" w:eastAsia="Arial" w:hAnsi="Arial"/>
          <w:b/>
          <w:bCs/>
          <w:color w:val="561217"/>
          <w:sz w:val="26"/>
          <w:szCs w:val="26"/>
        </w:rPr>
        <w:t xml:space="preserve">How We Use Data</w:t>
      </w:r>
    </w:p>
    <w:p>
      <w:pPr>
        <w:pStyle w:val="ListParagraph"/>
        <w:numPr>
          <w:ilvl w:val="0"/>
          <w:numId w:val="2"/>
        </w:numPr>
        <w:spacing w:after="40" w:before="40" w:line="300"/>
      </w:pPr>
      <w:r>
        <w:rPr>
          <w:rFonts w:ascii="Arial" w:cs="Arial" w:eastAsia="Arial" w:hAnsi="Arial"/>
          <w:color w:val="1F1E1E"/>
          <w:sz w:val="22"/>
          <w:szCs w:val="22"/>
        </w:rPr>
        <w:t xml:space="preserve">To operate and improve the Trust Portal and organizational platforms</w:t>
      </w:r>
    </w:p>
    <w:p>
      <w:pPr>
        <w:pStyle w:val="ListParagraph"/>
        <w:numPr>
          <w:ilvl w:val="0"/>
          <w:numId w:val="2"/>
        </w:numPr>
        <w:spacing w:after="40" w:before="40" w:line="300"/>
      </w:pPr>
      <w:r>
        <w:rPr>
          <w:rFonts w:ascii="Arial" w:cs="Arial" w:eastAsia="Arial" w:hAnsi="Arial"/>
          <w:color w:val="1F1E1E"/>
          <w:sz w:val="22"/>
          <w:szCs w:val="22"/>
        </w:rPr>
        <w:t xml:space="preserve">To communicate with stewards, donors, and stakeholders</w:t>
      </w:r>
    </w:p>
    <w:p>
      <w:pPr>
        <w:pStyle w:val="ListParagraph"/>
        <w:numPr>
          <w:ilvl w:val="0"/>
          <w:numId w:val="2"/>
        </w:numPr>
        <w:spacing w:after="40" w:before="40" w:line="300"/>
      </w:pPr>
      <w:r>
        <w:rPr>
          <w:rFonts w:ascii="Arial" w:cs="Arial" w:eastAsia="Arial" w:hAnsi="Arial"/>
          <w:color w:val="1F1E1E"/>
          <w:sz w:val="22"/>
          <w:szCs w:val="22"/>
        </w:rPr>
        <w:t xml:space="preserve">To measure and report conservation impact</w:t>
      </w:r>
    </w:p>
    <w:p>
      <w:pPr>
        <w:pStyle w:val="ListParagraph"/>
        <w:numPr>
          <w:ilvl w:val="0"/>
          <w:numId w:val="2"/>
        </w:numPr>
        <w:spacing w:after="40" w:before="40" w:line="300"/>
      </w:pPr>
      <w:r>
        <w:rPr>
          <w:rFonts w:ascii="Arial" w:cs="Arial" w:eastAsia="Arial" w:hAnsi="Arial"/>
          <w:color w:val="1F1E1E"/>
          <w:sz w:val="22"/>
          <w:szCs w:val="22"/>
        </w:rPr>
        <w:t xml:space="preserve">To comply with legal and regulatory obligations</w:t>
      </w:r>
    </w:p>
    <w:p>
      <w:pPr>
        <w:pStyle w:val="ListParagraph"/>
        <w:numPr>
          <w:ilvl w:val="0"/>
          <w:numId w:val="2"/>
        </w:numPr>
        <w:spacing w:after="40" w:before="40" w:line="300"/>
      </w:pPr>
      <w:r>
        <w:rPr>
          <w:rFonts w:ascii="Arial" w:cs="Arial" w:eastAsia="Arial" w:hAnsi="Arial"/>
          <w:color w:val="1F1E1E"/>
          <w:sz w:val="22"/>
          <w:szCs w:val="22"/>
        </w:rPr>
        <w:t xml:space="preserve">To process donations and issue tax receipts</w:t>
      </w:r>
    </w:p>
    <w:p>
      <w:pPr>
        <w:pStyle w:val="ListParagraph"/>
        <w:numPr>
          <w:ilvl w:val="0"/>
          <w:numId w:val="2"/>
        </w:numPr>
        <w:spacing w:after="40" w:before="40" w:line="300"/>
      </w:pPr>
      <w:r>
        <w:rPr>
          <w:rFonts w:ascii="Arial" w:cs="Arial" w:eastAsia="Arial" w:hAnsi="Arial"/>
          <w:color w:val="1F1E1E"/>
          <w:sz w:val="22"/>
          <w:szCs w:val="22"/>
        </w:rPr>
        <w:t xml:space="preserve">To facilitate governance operations and compliance</w:t>
      </w:r>
    </w:p>
    <w:p>
      <w:pPr>
        <w:keepNext/>
        <w:spacing w:after="160" w:before="360"/>
      </w:pPr>
      <w:r>
        <w:rPr>
          <w:rFonts w:ascii="Arial" w:cs="Arial" w:eastAsia="Arial" w:hAnsi="Arial"/>
          <w:b/>
          <w:bCs/>
          <w:color w:val="561217"/>
          <w:sz w:val="26"/>
          <w:szCs w:val="26"/>
        </w:rPr>
        <w:t xml:space="preserve">Lawful Basis for Processing (GDPR &amp; UK GDPR)</w:t>
      </w:r>
    </w:p>
    <w:p>
      <w:pPr>
        <w:spacing w:after="120" w:before="60" w:line="320"/>
        <w:jc w:val="both"/>
      </w:pPr>
      <w:r>
        <w:rPr>
          <w:rFonts w:ascii="Arial" w:cs="Arial" w:eastAsia="Arial" w:hAnsi="Arial"/>
          <w:color w:val="1F1E1E"/>
          <w:sz w:val="22"/>
          <w:szCs w:val="22"/>
        </w:rPr>
        <w:t xml:space="preserve">For individuals to whom GDPR or UK GDPR applies, the Foundation processes personal data on the following lawful bases under Article 6:</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Performance of a Contract.</w:t>
      </w:r>
      <w:r>
        <w:rPr>
          <w:rFonts w:ascii="Arial" w:cs="Arial" w:eastAsia="Arial" w:hAnsi="Arial"/>
          <w:color w:val="1F1E1E"/>
          <w:sz w:val="22"/>
          <w:szCs w:val="22"/>
        </w:rPr>
        <w:t xml:space="preserve"> To operate the Portal, deliver services, and process donations.</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Legal Obligation.</w:t>
      </w:r>
      <w:r>
        <w:rPr>
          <w:rFonts w:ascii="Arial" w:cs="Arial" w:eastAsia="Arial" w:hAnsi="Arial"/>
          <w:color w:val="1F1E1E"/>
          <w:sz w:val="22"/>
          <w:szCs w:val="22"/>
        </w:rPr>
        <w:t xml:space="preserve"> To comply with tax, employment, charitable solicitation, and reporting laws.</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Legitimate Interests.</w:t>
      </w:r>
      <w:r>
        <w:rPr>
          <w:rFonts w:ascii="Arial" w:cs="Arial" w:eastAsia="Arial" w:hAnsi="Arial"/>
          <w:color w:val="1F1E1E"/>
          <w:sz w:val="22"/>
          <w:szCs w:val="22"/>
        </w:rPr>
        <w:t xml:space="preserve"> To communicate with stewards and donors about Foundation activities, perform impact measurement, and prevent fraud, balanced against individuals' rights and freedoms.</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Consent.</w:t>
      </w:r>
      <w:r>
        <w:rPr>
          <w:rFonts w:ascii="Arial" w:cs="Arial" w:eastAsia="Arial" w:hAnsi="Arial"/>
          <w:color w:val="1F1E1E"/>
          <w:sz w:val="22"/>
          <w:szCs w:val="22"/>
        </w:rPr>
        <w:t xml:space="preserve"> For marketing communications, photo/video features, and use of non-essential cookies, which may be withdrawn at any time without affecting processing performed prior to withdrawal.</w:t>
      </w:r>
    </w:p>
    <w:p>
      <w:pPr>
        <w:spacing w:after="120" w:before="60" w:line="320"/>
        <w:jc w:val="both"/>
      </w:pPr>
      <w:r>
        <w:rPr>
          <w:rFonts w:ascii="Arial" w:cs="Arial" w:eastAsia="Arial" w:hAnsi="Arial"/>
          <w:color w:val="1F1E1E"/>
          <w:sz w:val="22"/>
          <w:szCs w:val="22"/>
        </w:rPr>
        <w:t xml:space="preserve">For special-category data (Article 9), processing is limited to data made manifestly public by the data subject or to data necessary for substantial public interest purposes consistent with the Foundation's charitable mission.</w:t>
      </w:r>
    </w:p>
    <w:p>
      <w:pPr>
        <w:keepNext/>
        <w:spacing w:after="160" w:before="360"/>
      </w:pPr>
      <w:r>
        <w:rPr>
          <w:rFonts w:ascii="Arial" w:cs="Arial" w:eastAsia="Arial" w:hAnsi="Arial"/>
          <w:b/>
          <w:bCs/>
          <w:color w:val="561217"/>
          <w:sz w:val="26"/>
          <w:szCs w:val="26"/>
        </w:rPr>
        <w:t xml:space="preserve">Data Protection Measures</w:t>
      </w:r>
    </w:p>
    <w:p>
      <w:pPr>
        <w:pStyle w:val="ListParagraph"/>
        <w:numPr>
          <w:ilvl w:val="0"/>
          <w:numId w:val="2"/>
        </w:numPr>
        <w:spacing w:after="40" w:before="40" w:line="300"/>
      </w:pPr>
      <w:r>
        <w:rPr>
          <w:rFonts w:ascii="Arial" w:cs="Arial" w:eastAsia="Arial" w:hAnsi="Arial"/>
          <w:color w:val="1F1E1E"/>
          <w:sz w:val="22"/>
          <w:szCs w:val="22"/>
        </w:rPr>
        <w:t xml:space="preserve">All platforms use SSL/TLS encryption for data in transit.</w:t>
      </w:r>
    </w:p>
    <w:p>
      <w:pPr>
        <w:pStyle w:val="ListParagraph"/>
        <w:numPr>
          <w:ilvl w:val="0"/>
          <w:numId w:val="2"/>
        </w:numPr>
        <w:spacing w:after="40" w:before="40" w:line="300"/>
      </w:pPr>
      <w:r>
        <w:rPr>
          <w:rFonts w:ascii="Arial" w:cs="Arial" w:eastAsia="Arial" w:hAnsi="Arial"/>
          <w:color w:val="1F1E1E"/>
          <w:sz w:val="22"/>
          <w:szCs w:val="22"/>
        </w:rPr>
        <w:t xml:space="preserve">Sensitive data is encrypted at rest in Supabase with row-level security policies.</w:t>
      </w:r>
    </w:p>
    <w:p>
      <w:pPr>
        <w:pStyle w:val="ListParagraph"/>
        <w:numPr>
          <w:ilvl w:val="0"/>
          <w:numId w:val="2"/>
        </w:numPr>
        <w:spacing w:after="40" w:before="40" w:line="300"/>
      </w:pPr>
      <w:r>
        <w:rPr>
          <w:rFonts w:ascii="Arial" w:cs="Arial" w:eastAsia="Arial" w:hAnsi="Arial"/>
          <w:color w:val="1F1E1E"/>
          <w:sz w:val="22"/>
          <w:szCs w:val="22"/>
        </w:rPr>
        <w:t xml:space="preserve">Access to personal data is restricted to authorized personnel based on role.</w:t>
      </w:r>
    </w:p>
    <w:p>
      <w:pPr>
        <w:pStyle w:val="ListParagraph"/>
        <w:numPr>
          <w:ilvl w:val="0"/>
          <w:numId w:val="2"/>
        </w:numPr>
        <w:spacing w:after="40" w:before="40" w:line="300"/>
      </w:pPr>
      <w:r>
        <w:rPr>
          <w:rFonts w:ascii="Arial" w:cs="Arial" w:eastAsia="Arial" w:hAnsi="Arial"/>
          <w:color w:val="1F1E1E"/>
          <w:sz w:val="22"/>
          <w:szCs w:val="22"/>
        </w:rPr>
        <w:t xml:space="preserve">Strong password requirements and optional two-factor authentication.</w:t>
      </w:r>
    </w:p>
    <w:p>
      <w:pPr>
        <w:pStyle w:val="ListParagraph"/>
        <w:numPr>
          <w:ilvl w:val="0"/>
          <w:numId w:val="2"/>
        </w:numPr>
        <w:spacing w:after="40" w:before="40" w:line="300"/>
      </w:pPr>
      <w:r>
        <w:rPr>
          <w:rFonts w:ascii="Arial" w:cs="Arial" w:eastAsia="Arial" w:hAnsi="Arial"/>
          <w:color w:val="1F1E1E"/>
          <w:sz w:val="22"/>
          <w:szCs w:val="22"/>
        </w:rPr>
        <w:t xml:space="preserve">Regular security reviews and vulnerability assessments.</w:t>
      </w:r>
    </w:p>
    <w:p>
      <w:pPr>
        <w:pStyle w:val="ListParagraph"/>
        <w:numPr>
          <w:ilvl w:val="0"/>
          <w:numId w:val="2"/>
        </w:numPr>
        <w:spacing w:after="40" w:before="40" w:line="300"/>
      </w:pPr>
      <w:r>
        <w:rPr>
          <w:rFonts w:ascii="Arial" w:cs="Arial" w:eastAsia="Arial" w:hAnsi="Arial"/>
          <w:color w:val="1F1E1E"/>
          <w:sz w:val="22"/>
          <w:szCs w:val="22"/>
        </w:rPr>
        <w:t xml:space="preserve">Incident response plan for data breaches (see Data Breach Response below).</w:t>
      </w:r>
    </w:p>
    <w:p>
      <w:pPr>
        <w:keepNext/>
        <w:spacing w:after="160" w:before="360"/>
      </w:pPr>
      <w:r>
        <w:rPr>
          <w:rFonts w:ascii="Arial" w:cs="Arial" w:eastAsia="Arial" w:hAnsi="Arial"/>
          <w:b/>
          <w:bCs/>
          <w:color w:val="561217"/>
          <w:sz w:val="26"/>
          <w:szCs w:val="26"/>
        </w:rPr>
        <w:t xml:space="preserve">Minor Users</w:t>
      </w:r>
    </w:p>
    <w:p>
      <w:pPr>
        <w:spacing w:after="120" w:before="60" w:line="320"/>
        <w:jc w:val="both"/>
      </w:pPr>
      <w:r>
        <w:rPr>
          <w:rFonts w:ascii="Arial" w:cs="Arial" w:eastAsia="Arial" w:hAnsi="Arial"/>
          <w:color w:val="1F1E1E"/>
          <w:sz w:val="22"/>
          <w:szCs w:val="22"/>
        </w:rPr>
        <w:t xml:space="preserve">The Foundation provides services to minors aged 13–17 with parental consent under our Parental Consent process, and in compliance with the Texas SCOPE Act (Bus. &amp; Com. Code Ch. 509). For minor users:</w:t>
      </w:r>
    </w:p>
    <w:p>
      <w:pPr>
        <w:spacing w:after="120" w:before="60" w:line="320"/>
        <w:jc w:val="both"/>
      </w:pPr>
      <w:r>
        <w:rPr>
          <w:rFonts w:ascii="Arial" w:cs="Arial" w:eastAsia="Arial" w:hAnsi="Arial"/>
          <w:color w:val="1F1E1E"/>
          <w:sz w:val="22"/>
          <w:szCs w:val="22"/>
        </w:rPr>
        <w:t xml:space="preserve">(a) data collection is limited to what is necessary to provide the requested service; (b) default privacy settings are set to the most protective available; (c) targeted advertising based on personal data of known minors is prohibited; (d) parental consent is verifiable and renewable annually; (e) the Foundation does not knowingly collect personal data from children under thirteen (13) years of age except as permitted by COPPA (15 U.S.C. § 6501) and with verifiable parental consent under our COPPA-compliant procedure; (f) parents may at any time review, correct, or delete their child's data by contacting privacy@holonfoundation.org.</w:t>
      </w:r>
    </w:p>
    <w:p>
      <w:pPr>
        <w:keepNext/>
        <w:spacing w:after="160" w:before="360"/>
      </w:pPr>
      <w:r>
        <w:rPr>
          <w:rFonts w:ascii="Arial" w:cs="Arial" w:eastAsia="Arial" w:hAnsi="Arial"/>
          <w:b/>
          <w:bCs/>
          <w:color w:val="561217"/>
          <w:sz w:val="26"/>
          <w:szCs w:val="26"/>
        </w:rPr>
        <w:t xml:space="preserve">Data Sharing</w:t>
      </w:r>
    </w:p>
    <w:p>
      <w:pPr>
        <w:spacing w:after="120" w:before="60" w:line="320"/>
        <w:jc w:val="both"/>
      </w:pPr>
      <w:r>
        <w:rPr>
          <w:rFonts w:ascii="Arial" w:cs="Arial" w:eastAsia="Arial" w:hAnsi="Arial"/>
          <w:color w:val="1F1E1E"/>
          <w:sz w:val="22"/>
          <w:szCs w:val="22"/>
        </w:rPr>
        <w:t xml:space="preserve">Holon Foundation does not sell, rent, or trade personal data. Data may be shared only:</w:t>
      </w:r>
    </w:p>
    <w:p>
      <w:pPr>
        <w:pStyle w:val="ListParagraph"/>
        <w:numPr>
          <w:ilvl w:val="0"/>
          <w:numId w:val="2"/>
        </w:numPr>
        <w:spacing w:after="40" w:before="40" w:line="300"/>
      </w:pPr>
      <w:r>
        <w:rPr>
          <w:rFonts w:ascii="Arial" w:cs="Arial" w:eastAsia="Arial" w:hAnsi="Arial"/>
          <w:color w:val="1F1E1E"/>
          <w:sz w:val="22"/>
          <w:szCs w:val="22"/>
        </w:rPr>
        <w:t xml:space="preserve">With the individual's consent</w:t>
      </w:r>
    </w:p>
    <w:p>
      <w:pPr>
        <w:pStyle w:val="ListParagraph"/>
        <w:numPr>
          <w:ilvl w:val="0"/>
          <w:numId w:val="2"/>
        </w:numPr>
        <w:spacing w:after="40" w:before="40" w:line="300"/>
      </w:pPr>
      <w:r>
        <w:rPr>
          <w:rFonts w:ascii="Arial" w:cs="Arial" w:eastAsia="Arial" w:hAnsi="Arial"/>
          <w:color w:val="1F1E1E"/>
          <w:sz w:val="22"/>
          <w:szCs w:val="22"/>
        </w:rPr>
        <w:t xml:space="preserve">With service providers who process data on our behalf (subject to data protection agreements; see Sub-Processors section below)</w:t>
      </w:r>
    </w:p>
    <w:p>
      <w:pPr>
        <w:pStyle w:val="ListParagraph"/>
        <w:numPr>
          <w:ilvl w:val="0"/>
          <w:numId w:val="2"/>
        </w:numPr>
        <w:spacing w:after="40" w:before="40" w:line="300"/>
      </w:pPr>
      <w:r>
        <w:rPr>
          <w:rFonts w:ascii="Arial" w:cs="Arial" w:eastAsia="Arial" w:hAnsi="Arial"/>
          <w:color w:val="1F1E1E"/>
          <w:sz w:val="22"/>
          <w:szCs w:val="22"/>
        </w:rPr>
        <w:t xml:space="preserve">As required by law, regulation, or court order</w:t>
      </w:r>
    </w:p>
    <w:p>
      <w:pPr>
        <w:pStyle w:val="ListParagraph"/>
        <w:numPr>
          <w:ilvl w:val="0"/>
          <w:numId w:val="2"/>
        </w:numPr>
        <w:spacing w:after="40" w:before="40" w:line="300"/>
      </w:pPr>
      <w:r>
        <w:rPr>
          <w:rFonts w:ascii="Arial" w:cs="Arial" w:eastAsia="Arial" w:hAnsi="Arial"/>
          <w:color w:val="1F1E1E"/>
          <w:sz w:val="22"/>
          <w:szCs w:val="22"/>
        </w:rPr>
        <w:t xml:space="preserve">In aggregated, anonymized form for research or impact reporting</w:t>
      </w:r>
    </w:p>
    <w:p>
      <w:pPr>
        <w:keepNext/>
        <w:spacing w:after="120" w:before="240"/>
      </w:pPr>
      <w:r>
        <w:rPr>
          <w:rFonts w:ascii="Arial" w:cs="Arial" w:eastAsia="Arial" w:hAnsi="Arial"/>
          <w:b/>
          <w:bCs/>
          <w:color w:val="3B5937"/>
          <w:sz w:val="22"/>
          <w:szCs w:val="22"/>
        </w:rPr>
        <w:t xml:space="preserve">Service Providers and Sub-Processors</w:t>
      </w:r>
    </w:p>
    <w:p>
      <w:pPr>
        <w:spacing w:after="120" w:before="60" w:line="320"/>
        <w:jc w:val="both"/>
      </w:pPr>
      <w:r>
        <w:rPr>
          <w:rFonts w:ascii="Arial" w:cs="Arial" w:eastAsia="Arial" w:hAnsi="Arial"/>
          <w:color w:val="1F1E1E"/>
          <w:sz w:val="22"/>
          <w:szCs w:val="22"/>
        </w:rPr>
        <w:t xml:space="preserve">The Foundation engages third-party service providers (sub-processors) to perform specific functions on its behalf. Our current Sub-Processors list is published at holonfoundation.org/sub-processors and is updated as relationships change. Each sub-processor is bound by a written data-processing agreement compliant with GDPR Article 28 (or the analogous UK GDPR Article 28).</w:t>
      </w:r>
    </w:p>
    <w:p>
      <w:pPr>
        <w:keepNext/>
        <w:spacing w:after="120" w:before="240"/>
      </w:pPr>
      <w:r>
        <w:rPr>
          <w:rFonts w:ascii="Arial" w:cs="Arial" w:eastAsia="Arial" w:hAnsi="Arial"/>
          <w:b/>
          <w:bCs/>
          <w:color w:val="3B5937"/>
          <w:sz w:val="22"/>
          <w:szCs w:val="22"/>
        </w:rPr>
        <w:t xml:space="preserve">International Data Transfers</w:t>
      </w:r>
    </w:p>
    <w:p>
      <w:pPr>
        <w:spacing w:after="120" w:before="60" w:line="320"/>
        <w:jc w:val="both"/>
      </w:pPr>
      <w:r>
        <w:rPr>
          <w:rFonts w:ascii="Arial" w:cs="Arial" w:eastAsia="Arial" w:hAnsi="Arial"/>
          <w:color w:val="1F1E1E"/>
          <w:sz w:val="22"/>
          <w:szCs w:val="22"/>
        </w:rPr>
        <w:t xml:space="preserve">Where personal data of EU/UK residents is transferred to the United States or other third countries lacking an EU adequacy decision, the Foundation uses Standard Contractual Clauses (SCCs) approved by the European Commission, plus supplementary measures consistent with the Schrems II decision and the EDPB Recommendations 01/2020. Where the recipient is certified under the EU-U.S. Data Privacy Framework, transfer occurs under that mechanism.</w:t>
      </w:r>
    </w:p>
    <w:p>
      <w:pPr>
        <w:keepNext/>
        <w:spacing w:after="160" w:before="360"/>
      </w:pPr>
      <w:r>
        <w:rPr>
          <w:rFonts w:ascii="Arial" w:cs="Arial" w:eastAsia="Arial" w:hAnsi="Arial"/>
          <w:b/>
          <w:bCs/>
          <w:color w:val="561217"/>
          <w:sz w:val="26"/>
          <w:szCs w:val="26"/>
        </w:rPr>
        <w:t xml:space="preserve">Individual Rights</w:t>
      </w:r>
    </w:p>
    <w:p>
      <w:pPr>
        <w:spacing w:after="120" w:before="60" w:line="320"/>
        <w:jc w:val="both"/>
      </w:pPr>
      <w:r>
        <w:rPr>
          <w:rFonts w:ascii="Arial" w:cs="Arial" w:eastAsia="Arial" w:hAnsi="Arial"/>
          <w:color w:val="1F1E1E"/>
          <w:sz w:val="22"/>
          <w:szCs w:val="22"/>
        </w:rPr>
        <w:t xml:space="preserve">Individuals may:</w:t>
      </w:r>
    </w:p>
    <w:p>
      <w:pPr>
        <w:pStyle w:val="ListParagraph"/>
        <w:numPr>
          <w:ilvl w:val="0"/>
          <w:numId w:val="2"/>
        </w:numPr>
        <w:spacing w:after="40" w:before="40" w:line="300"/>
      </w:pPr>
      <w:r>
        <w:rPr>
          <w:rFonts w:ascii="Arial" w:cs="Arial" w:eastAsia="Arial" w:hAnsi="Arial"/>
          <w:color w:val="1F1E1E"/>
          <w:sz w:val="22"/>
          <w:szCs w:val="22"/>
        </w:rPr>
        <w:t xml:space="preserve">Request access to their personal data</w:t>
      </w:r>
    </w:p>
    <w:p>
      <w:pPr>
        <w:pStyle w:val="ListParagraph"/>
        <w:numPr>
          <w:ilvl w:val="0"/>
          <w:numId w:val="2"/>
        </w:numPr>
        <w:spacing w:after="40" w:before="40" w:line="300"/>
      </w:pPr>
      <w:r>
        <w:rPr>
          <w:rFonts w:ascii="Arial" w:cs="Arial" w:eastAsia="Arial" w:hAnsi="Arial"/>
          <w:color w:val="1F1E1E"/>
          <w:sz w:val="22"/>
          <w:szCs w:val="22"/>
        </w:rPr>
        <w:t xml:space="preserve">Request correction of inaccurate data</w:t>
      </w:r>
    </w:p>
    <w:p>
      <w:pPr>
        <w:pStyle w:val="ListParagraph"/>
        <w:numPr>
          <w:ilvl w:val="0"/>
          <w:numId w:val="2"/>
        </w:numPr>
        <w:spacing w:after="40" w:before="40" w:line="300"/>
      </w:pPr>
      <w:r>
        <w:rPr>
          <w:rFonts w:ascii="Arial" w:cs="Arial" w:eastAsia="Arial" w:hAnsi="Arial"/>
          <w:color w:val="1F1E1E"/>
          <w:sz w:val="22"/>
          <w:szCs w:val="22"/>
        </w:rPr>
        <w:t xml:space="preserve">Request deletion of their data (subject to legal retention requirements; see Deletion Procedure below)</w:t>
      </w:r>
    </w:p>
    <w:p>
      <w:pPr>
        <w:pStyle w:val="ListParagraph"/>
        <w:numPr>
          <w:ilvl w:val="0"/>
          <w:numId w:val="2"/>
        </w:numPr>
        <w:spacing w:after="40" w:before="40" w:line="300"/>
      </w:pPr>
      <w:r>
        <w:rPr>
          <w:rFonts w:ascii="Arial" w:cs="Arial" w:eastAsia="Arial" w:hAnsi="Arial"/>
          <w:color w:val="1F1E1E"/>
          <w:sz w:val="22"/>
          <w:szCs w:val="22"/>
        </w:rPr>
        <w:t xml:space="preserve">Opt out of non-essential communications</w:t>
      </w:r>
    </w:p>
    <w:p>
      <w:pPr>
        <w:pStyle w:val="ListParagraph"/>
        <w:numPr>
          <w:ilvl w:val="0"/>
          <w:numId w:val="2"/>
        </w:numPr>
        <w:spacing w:after="40" w:before="40" w:line="300"/>
      </w:pPr>
      <w:r>
        <w:rPr>
          <w:rFonts w:ascii="Arial" w:cs="Arial" w:eastAsia="Arial" w:hAnsi="Arial"/>
          <w:color w:val="1F1E1E"/>
          <w:sz w:val="22"/>
          <w:szCs w:val="22"/>
        </w:rPr>
        <w:t xml:space="preserve">Contact privacy@holonfoundation.org with questions or requests</w:t>
      </w:r>
    </w:p>
    <w:p>
      <w:pPr>
        <w:keepNext/>
        <w:spacing w:after="120" w:before="240"/>
      </w:pPr>
      <w:r>
        <w:rPr>
          <w:rFonts w:ascii="Arial" w:cs="Arial" w:eastAsia="Arial" w:hAnsi="Arial"/>
          <w:b/>
          <w:bCs/>
          <w:color w:val="3B5937"/>
          <w:sz w:val="22"/>
          <w:szCs w:val="22"/>
        </w:rPr>
        <w:t xml:space="preserve">Deletion Procedure</w:t>
      </w:r>
    </w:p>
    <w:p>
      <w:pPr>
        <w:spacing w:after="120" w:before="60" w:line="320"/>
        <w:jc w:val="both"/>
      </w:pPr>
      <w:r>
        <w:rPr>
          <w:rFonts w:ascii="Arial" w:cs="Arial" w:eastAsia="Arial" w:hAnsi="Arial"/>
          <w:color w:val="1F1E1E"/>
          <w:sz w:val="22"/>
          <w:szCs w:val="22"/>
        </w:rPr>
        <w:t xml:space="preserve">To request deletion of personal data, contact privacy@holonfoundation.org with a verifiable identification of the data subject and a reasonable description of the data to be deleted. The Foundation shall:</w:t>
      </w:r>
    </w:p>
    <w:p>
      <w:pPr>
        <w:spacing w:after="120" w:before="60" w:line="320"/>
        <w:jc w:val="both"/>
      </w:pPr>
      <w:r>
        <w:rPr>
          <w:rFonts w:ascii="Arial" w:cs="Arial" w:eastAsia="Arial" w:hAnsi="Arial"/>
          <w:color w:val="1F1E1E"/>
          <w:sz w:val="22"/>
          <w:szCs w:val="22"/>
        </w:rPr>
        <w:t xml:space="preserve">(a) acknowledge receipt within five (5) business days;</w:t>
      </w:r>
    </w:p>
    <w:p>
      <w:pPr>
        <w:spacing w:after="120" w:before="60" w:line="320"/>
        <w:jc w:val="both"/>
      </w:pPr>
      <w:r>
        <w:rPr>
          <w:rFonts w:ascii="Arial" w:cs="Arial" w:eastAsia="Arial" w:hAnsi="Arial"/>
          <w:color w:val="1F1E1E"/>
          <w:sz w:val="22"/>
          <w:szCs w:val="22"/>
        </w:rPr>
        <w:t xml:space="preserve">(b) verify the requester's identity using methods proportionate to the sensitivity of the data;</w:t>
      </w:r>
    </w:p>
    <w:p>
      <w:pPr>
        <w:spacing w:after="120" w:before="60" w:line="320"/>
        <w:jc w:val="both"/>
      </w:pPr>
      <w:r>
        <w:rPr>
          <w:rFonts w:ascii="Arial" w:cs="Arial" w:eastAsia="Arial" w:hAnsi="Arial"/>
          <w:color w:val="1F1E1E"/>
          <w:sz w:val="22"/>
          <w:szCs w:val="22"/>
        </w:rPr>
        <w:t xml:space="preserve">(c) respond substantively within one (1) calendar month (extendable by two additional months for complex requests, with notice to the requester);</w:t>
      </w:r>
    </w:p>
    <w:p>
      <w:pPr>
        <w:spacing w:after="120" w:before="60" w:line="320"/>
        <w:jc w:val="both"/>
      </w:pPr>
      <w:r>
        <w:rPr>
          <w:rFonts w:ascii="Arial" w:cs="Arial" w:eastAsia="Arial" w:hAnsi="Arial"/>
          <w:color w:val="1F1E1E"/>
          <w:sz w:val="22"/>
          <w:szCs w:val="22"/>
        </w:rPr>
        <w:t xml:space="preserve">(d) delete the data and confirm completion in writing, except where retention is required to (i) comply with a legal obligation (e.g., IRS tax-substantiation records under IRC § 170(f)(8)), (ii) establish, exercise, or defend legal claims, or (iii) protect the vital interests of the data subject or another person;</w:t>
      </w:r>
    </w:p>
    <w:p>
      <w:pPr>
        <w:spacing w:after="120" w:before="60" w:line="320"/>
        <w:jc w:val="both"/>
      </w:pPr>
      <w:r>
        <w:rPr>
          <w:rFonts w:ascii="Arial" w:cs="Arial" w:eastAsia="Arial" w:hAnsi="Arial"/>
          <w:color w:val="1F1E1E"/>
          <w:sz w:val="22"/>
          <w:szCs w:val="22"/>
        </w:rPr>
        <w:t xml:space="preserve">(e) cascade the deletion to relevant third-party processors with documentation of their compliance.</w:t>
      </w:r>
    </w:p>
    <w:p>
      <w:pPr>
        <w:spacing w:after="120" w:before="60" w:line="320"/>
        <w:jc w:val="both"/>
      </w:pPr>
      <w:r>
        <w:rPr>
          <w:rFonts w:ascii="Arial" w:cs="Arial" w:eastAsia="Arial" w:hAnsi="Arial"/>
          <w:color w:val="1F1E1E"/>
          <w:sz w:val="22"/>
          <w:szCs w:val="22"/>
        </w:rPr>
        <w:t xml:space="preserve">The Foundation does not charge fees for the first two erasure requests per data subject per twelve-month period.</w:t>
      </w:r>
    </w:p>
    <w:p>
      <w:pPr>
        <w:keepNext/>
        <w:spacing w:after="160" w:before="360"/>
      </w:pPr>
      <w:r>
        <w:rPr>
          <w:rFonts w:ascii="Arial" w:cs="Arial" w:eastAsia="Arial" w:hAnsi="Arial"/>
          <w:b/>
          <w:bCs/>
          <w:color w:val="561217"/>
          <w:sz w:val="26"/>
          <w:szCs w:val="26"/>
        </w:rPr>
        <w:t xml:space="preserve">Data Breach Response</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Internal escalation.</w:t>
      </w:r>
      <w:r>
        <w:rPr>
          <w:rFonts w:ascii="Arial" w:cs="Arial" w:eastAsia="Arial" w:hAnsi="Arial"/>
          <w:color w:val="1F1E1E"/>
          <w:sz w:val="22"/>
          <w:szCs w:val="22"/>
        </w:rPr>
        <w:t xml:space="preserve"> Within 24 hours of discovery, the Executive Director and IT lead shall be notified, an incident log opened, and immediate containment measures taken.</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Regulator Notice — EU/UK.</w:t>
      </w:r>
      <w:r>
        <w:rPr>
          <w:rFonts w:ascii="Arial" w:cs="Arial" w:eastAsia="Arial" w:hAnsi="Arial"/>
          <w:color w:val="1F1E1E"/>
          <w:sz w:val="22"/>
          <w:szCs w:val="22"/>
        </w:rPr>
        <w:t xml:space="preserve"> Where the breach affects EU/UK personal data and is likely to result in a risk to data subjects, notice to the lead supervisory authority shall be given within 72 hours per GDPR Article 33.</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Individual Notice — Texas residents.</w:t>
      </w:r>
      <w:r>
        <w:rPr>
          <w:rFonts w:ascii="Arial" w:cs="Arial" w:eastAsia="Arial" w:hAnsi="Arial"/>
          <w:color w:val="1F1E1E"/>
          <w:sz w:val="22"/>
          <w:szCs w:val="22"/>
        </w:rPr>
        <w:t xml:space="preserve"> Notice shall be given as expediently as possible and not later than 60 days after determination of breach, per Texas Bus. &amp; Com. Code § 521.053.</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Individual Notice — EU/UK residents.</w:t>
      </w:r>
      <w:r>
        <w:rPr>
          <w:rFonts w:ascii="Arial" w:cs="Arial" w:eastAsia="Arial" w:hAnsi="Arial"/>
          <w:color w:val="1F1E1E"/>
          <w:sz w:val="22"/>
          <w:szCs w:val="22"/>
        </w:rPr>
        <w:t xml:space="preserve"> Where the breach is likely to result in a high risk to rights and freedoms, notice shall be given without undue delay per GDPR Article 34.</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Substitute Notice.</w:t>
      </w:r>
      <w:r>
        <w:rPr>
          <w:rFonts w:ascii="Arial" w:cs="Arial" w:eastAsia="Arial" w:hAnsi="Arial"/>
          <w:color w:val="1F1E1E"/>
          <w:sz w:val="22"/>
          <w:szCs w:val="22"/>
        </w:rPr>
        <w:t xml:space="preserve"> Where the cost of direct notice exceeds $250,000 or the affected population exceeds 500,000 Texas residents, substitute notice may be made per § 521.053(g).</w:t>
      </w:r>
    </w:p>
    <w:p>
      <w:pPr>
        <w:spacing w:after="120" w:before="60" w:line="320"/>
        <w:jc w:val="both"/>
      </w:pPr>
      <w:r>
        <w:rPr>
          <w:rFonts w:ascii="Arial" w:cs="Arial" w:eastAsia="Arial" w:hAnsi="Arial"/>
          <w:color w:val="1F1E1E"/>
          <w:sz w:val="22"/>
          <w:szCs w:val="22"/>
        </w:rPr>
        <w:t xml:space="preserve">(f) </w:t>
      </w:r>
      <w:r>
        <w:rPr>
          <w:rFonts w:ascii="Arial" w:cs="Arial" w:eastAsia="Arial" w:hAnsi="Arial"/>
          <w:b/>
          <w:bCs/>
          <w:color w:val="1F1E1E"/>
          <w:sz w:val="22"/>
          <w:szCs w:val="22"/>
        </w:rPr>
        <w:t xml:space="preserve">Texas Attorney General Notice.</w:t>
      </w:r>
      <w:r>
        <w:rPr>
          <w:rFonts w:ascii="Arial" w:cs="Arial" w:eastAsia="Arial" w:hAnsi="Arial"/>
          <w:color w:val="1F1E1E"/>
          <w:sz w:val="22"/>
          <w:szCs w:val="22"/>
        </w:rPr>
        <w:t xml:space="preserve"> If 250 or more Texas residents are affected, notice shall be filed with the Texas Attorney General within 30 days per § 521.053(b-1).</w:t>
      </w:r>
    </w:p>
    <w:p>
      <w:pPr>
        <w:spacing w:after="120" w:before="60" w:line="320"/>
        <w:jc w:val="both"/>
      </w:pPr>
      <w:r>
        <w:rPr>
          <w:rFonts w:ascii="Arial" w:cs="Arial" w:eastAsia="Arial" w:hAnsi="Arial"/>
          <w:color w:val="1F1E1E"/>
          <w:sz w:val="22"/>
          <w:szCs w:val="22"/>
        </w:rPr>
        <w:t xml:space="preserve">(g) </w:t>
      </w:r>
      <w:r>
        <w:rPr>
          <w:rFonts w:ascii="Arial" w:cs="Arial" w:eastAsia="Arial" w:hAnsi="Arial"/>
          <w:b/>
          <w:bCs/>
          <w:color w:val="1F1E1E"/>
          <w:sz w:val="22"/>
          <w:szCs w:val="22"/>
        </w:rPr>
        <w:t xml:space="preserve">Consumer Reporting Agencies.</w:t>
      </w:r>
      <w:r>
        <w:rPr>
          <w:rFonts w:ascii="Arial" w:cs="Arial" w:eastAsia="Arial" w:hAnsi="Arial"/>
          <w:color w:val="1F1E1E"/>
          <w:sz w:val="22"/>
          <w:szCs w:val="22"/>
        </w:rPr>
        <w:t xml:space="preserve"> If 10,000 or more Texans are affected, notice shall be provided to consumer reporting agencies.</w:t>
      </w:r>
    </w:p>
    <w:p>
      <w:pPr>
        <w:spacing w:after="120" w:before="60" w:line="320"/>
        <w:jc w:val="both"/>
      </w:pPr>
      <w:r>
        <w:rPr>
          <w:rFonts w:ascii="Arial" w:cs="Arial" w:eastAsia="Arial" w:hAnsi="Arial"/>
          <w:color w:val="1F1E1E"/>
          <w:sz w:val="22"/>
          <w:szCs w:val="22"/>
        </w:rPr>
        <w:t xml:space="preserve">(h) </w:t>
      </w:r>
      <w:r>
        <w:rPr>
          <w:rFonts w:ascii="Arial" w:cs="Arial" w:eastAsia="Arial" w:hAnsi="Arial"/>
          <w:b/>
          <w:bCs/>
          <w:color w:val="1F1E1E"/>
          <w:sz w:val="22"/>
          <w:szCs w:val="22"/>
        </w:rPr>
        <w:t xml:space="preserve">Post-incident review.</w:t>
      </w:r>
      <w:r>
        <w:rPr>
          <w:rFonts w:ascii="Arial" w:cs="Arial" w:eastAsia="Arial" w:hAnsi="Arial"/>
          <w:color w:val="1F1E1E"/>
          <w:sz w:val="22"/>
          <w:szCs w:val="22"/>
        </w:rPr>
        <w:t xml:space="preserve"> Root-cause analysis, control improvements, and lessons learned documented within 30 days of incident closure.</w:t>
      </w:r>
    </w:p>
    <w:p>
      <w:pPr>
        <w:keepNext/>
        <w:spacing w:after="160" w:before="360"/>
      </w:pPr>
      <w:r>
        <w:rPr>
          <w:rFonts w:ascii="Arial" w:cs="Arial" w:eastAsia="Arial" w:hAnsi="Arial"/>
          <w:b/>
          <w:bCs/>
          <w:color w:val="561217"/>
          <w:sz w:val="26"/>
          <w:szCs w:val="26"/>
        </w:rPr>
        <w:t xml:space="preserve">Policy Review</w:t>
      </w:r>
    </w:p>
    <w:p>
      <w:pPr>
        <w:spacing w:after="120" w:before="60" w:line="320"/>
        <w:jc w:val="both"/>
      </w:pPr>
      <w:r>
        <w:rPr>
          <w:rFonts w:ascii="Arial" w:cs="Arial" w:eastAsia="Arial" w:hAnsi="Arial"/>
          <w:color w:val="1F1E1E"/>
          <w:sz w:val="22"/>
          <w:szCs w:val="22"/>
        </w:rPr>
        <w:t xml:space="preserve">This policy is reviewed annually by the Governance Committee with input from technology advisors. Updates are communicated to all stakeholders.</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15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15  ·  DATA PRIVACY AND SECURITY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and Security Policy</dc:title>
  <dc:creator>Holon Foundation</dc:creator>
  <dc:description>Holon Foundation — Policy No. 15</dc:description>
  <cp:lastModifiedBy>Un-named</cp:lastModifiedBy>
  <cp:revision>1</cp:revision>
  <dcterms:created xsi:type="dcterms:W3CDTF">2026-05-21T02:41:41.849Z</dcterms:created>
  <dcterms:modified xsi:type="dcterms:W3CDTF">2026-05-21T02:41:41.849Z</dcterms:modified>
</cp:coreProperties>
</file>

<file path=docProps/custom.xml><?xml version="1.0" encoding="utf-8"?>
<Properties xmlns="http://schemas.openxmlformats.org/officeDocument/2006/custom-properties" xmlns:vt="http://schemas.openxmlformats.org/officeDocument/2006/docPropsVTypes"/>
</file>