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14</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Social Media and Communications Policy</w:t>
      </w:r>
    </w:p>
    <w:p>
      <w:pPr>
        <w:spacing w:after="0" w:before="0"/>
        <w:jc w:val="center"/>
      </w:pPr>
      <w:r>
        <w:rPr>
          <w:rFonts w:ascii="Arial" w:cs="Arial" w:eastAsia="Arial" w:hAnsi="Arial"/>
          <w:i/>
          <w:iCs/>
          <w:color w:val="4A4A4A"/>
          <w:sz w:val="20"/>
          <w:szCs w:val="20"/>
        </w:rPr>
        <w:t xml:space="preserve">Holon Foundation — Policy No. 14</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Narrowed the "no negative commentary" personal-use bullet to avoid violating NLRA § 7 protected concerted activity (Stericycle, Inc., 372 NLRB No. 113 (2023)), with explicit savings clause.</w:t>
      </w:r>
    </w:p>
    <w:p>
      <w:pPr>
        <w:pStyle w:val="ListParagraph"/>
        <w:numPr>
          <w:ilvl w:val="0"/>
          <w:numId w:val="2"/>
        </w:numPr>
        <w:spacing w:after="40" w:before="40" w:line="300"/>
      </w:pPr>
      <w:r>
        <w:rPr>
          <w:rFonts w:ascii="Arial" w:cs="Arial" w:eastAsia="Arial" w:hAnsi="Arial"/>
          <w:color w:val="1F1E1E"/>
          <w:sz w:val="22"/>
          <w:szCs w:val="22"/>
        </w:rPr>
        <w:t xml:space="preserve">Added Campaign Intervention Prohibition (IRC § 501(c)(3); Rev. Rul. 2007-41), barring any candidate-related content on Foundation accounts or under Foundation attribution.</w:t>
      </w:r>
    </w:p>
    <w:p>
      <w:pPr>
        <w:pStyle w:val="ListParagraph"/>
        <w:numPr>
          <w:ilvl w:val="0"/>
          <w:numId w:val="2"/>
        </w:numPr>
        <w:spacing w:after="40" w:before="40" w:line="300"/>
      </w:pPr>
      <w:r>
        <w:rPr>
          <w:rFonts w:ascii="Arial" w:cs="Arial" w:eastAsia="Arial" w:hAnsi="Arial"/>
          <w:color w:val="1F1E1E"/>
          <w:sz w:val="22"/>
          <w:szCs w:val="22"/>
        </w:rPr>
        <w:t xml:space="preserve">Added Image and Likeness Consent procedure invoking COPPA (under-13), Texas SCOPE Act / HB 18 (13–17), and FTC Endorsement Guides material-connection disclosure (16 C.F.R. § 255.5).</w:t>
      </w:r>
    </w:p>
    <w:p>
      <w:pPr>
        <w:pStyle w:val="ListParagraph"/>
        <w:numPr>
          <w:ilvl w:val="0"/>
          <w:numId w:val="2"/>
        </w:numPr>
        <w:spacing w:after="40" w:before="40" w:line="300"/>
      </w:pPr>
      <w:r>
        <w:rPr>
          <w:rFonts w:ascii="Arial" w:cs="Arial" w:eastAsia="Arial" w:hAnsi="Arial"/>
          <w:color w:val="1F1E1E"/>
          <w:sz w:val="22"/>
          <w:szCs w:val="22"/>
        </w:rPr>
        <w:t xml:space="preserve">Added Account Compromise and Legal-Issues escalation procedures, including coordination with Policy No. 05 if the crisis relates to a reported violation.</w:t>
      </w:r>
    </w:p>
    <w:p>
      <w:pPr>
        <w:pStyle w:val="ListParagraph"/>
        <w:numPr>
          <w:ilvl w:val="0"/>
          <w:numId w:val="2"/>
        </w:numPr>
        <w:spacing w:after="40" w:before="40" w:line="300"/>
      </w:pPr>
      <w:r>
        <w:rPr>
          <w:rFonts w:ascii="Arial" w:cs="Arial" w:eastAsia="Arial" w:hAnsi="Arial"/>
          <w:color w:val="1F1E1E"/>
          <w:sz w:val="22"/>
          <w:szCs w:val="22"/>
        </w:rPr>
        <w:t xml:space="preserve">Added AI-Generated Content disclosure section, cross-referencing Policy No. 17 and TRAIGA transparency obligations.</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Purpose</w:t>
      </w:r>
    </w:p>
    <w:p>
      <w:pPr>
        <w:spacing w:after="120" w:before="60" w:line="320"/>
        <w:jc w:val="both"/>
      </w:pPr>
      <w:r>
        <w:rPr>
          <w:rFonts w:ascii="Arial" w:cs="Arial" w:eastAsia="Arial" w:hAnsi="Arial"/>
          <w:color w:val="1F1E1E"/>
          <w:sz w:val="22"/>
          <w:szCs w:val="22"/>
        </w:rPr>
        <w:t xml:space="preserve">This policy provides guidelines for the use of social media and public communications by Holon Foundation representatives. It protects the organization's reputation, ensures consistent messaging, and respects individual expression.</w:t>
      </w:r>
    </w:p>
    <w:p>
      <w:pPr>
        <w:keepNext/>
        <w:spacing w:after="160" w:before="360"/>
      </w:pPr>
      <w:r>
        <w:rPr>
          <w:rFonts w:ascii="Arial" w:cs="Arial" w:eastAsia="Arial" w:hAnsi="Arial"/>
          <w:b/>
          <w:bCs/>
          <w:color w:val="561217"/>
          <w:sz w:val="26"/>
          <w:szCs w:val="26"/>
        </w:rPr>
        <w:t xml:space="preserve">Official Communications</w:t>
      </w:r>
    </w:p>
    <w:p>
      <w:pPr>
        <w:pStyle w:val="ListParagraph"/>
        <w:numPr>
          <w:ilvl w:val="0"/>
          <w:numId w:val="2"/>
        </w:numPr>
        <w:spacing w:after="40" w:before="40" w:line="300"/>
      </w:pPr>
      <w:r>
        <w:rPr>
          <w:rFonts w:ascii="Arial" w:cs="Arial" w:eastAsia="Arial" w:hAnsi="Arial"/>
          <w:color w:val="1F1E1E"/>
          <w:sz w:val="22"/>
          <w:szCs w:val="22"/>
        </w:rPr>
        <w:t xml:space="preserve">Only authorized personnel may post on Holon Foundation's official social media accounts or issue public statements on behalf of the organization.</w:t>
      </w:r>
    </w:p>
    <w:p>
      <w:pPr>
        <w:pStyle w:val="ListParagraph"/>
        <w:numPr>
          <w:ilvl w:val="0"/>
          <w:numId w:val="2"/>
        </w:numPr>
        <w:spacing w:after="40" w:before="40" w:line="300"/>
      </w:pPr>
      <w:r>
        <w:rPr>
          <w:rFonts w:ascii="Arial" w:cs="Arial" w:eastAsia="Arial" w:hAnsi="Arial"/>
          <w:color w:val="1F1E1E"/>
          <w:sz w:val="22"/>
          <w:szCs w:val="22"/>
        </w:rPr>
        <w:t xml:space="preserve">The Executive Director or their designee is the primary spokesperson for media inquiries.</w:t>
      </w:r>
    </w:p>
    <w:p>
      <w:pPr>
        <w:pStyle w:val="ListParagraph"/>
        <w:numPr>
          <w:ilvl w:val="0"/>
          <w:numId w:val="2"/>
        </w:numPr>
        <w:spacing w:after="40" w:before="40" w:line="300"/>
      </w:pPr>
      <w:r>
        <w:rPr>
          <w:rFonts w:ascii="Arial" w:cs="Arial" w:eastAsia="Arial" w:hAnsi="Arial"/>
          <w:color w:val="1F1E1E"/>
          <w:sz w:val="22"/>
          <w:szCs w:val="22"/>
        </w:rPr>
        <w:t xml:space="preserve">Board members should refer media inquiries to the Executive Director unless specifically authorized to respond.</w:t>
      </w:r>
    </w:p>
    <w:p>
      <w:pPr>
        <w:pStyle w:val="ListParagraph"/>
        <w:numPr>
          <w:ilvl w:val="0"/>
          <w:numId w:val="2"/>
        </w:numPr>
        <w:spacing w:after="40" w:before="40" w:line="300"/>
      </w:pPr>
      <w:r>
        <w:rPr>
          <w:rFonts w:ascii="Arial" w:cs="Arial" w:eastAsia="Arial" w:hAnsi="Arial"/>
          <w:color w:val="1F1E1E"/>
          <w:sz w:val="22"/>
          <w:szCs w:val="22"/>
        </w:rPr>
        <w:t xml:space="preserve">All press releases, official statements, and marketing materials require Executive Director approval before distribution.</w:t>
      </w:r>
    </w:p>
    <w:p>
      <w:pPr>
        <w:keepNext/>
        <w:spacing w:after="160" w:before="360"/>
      </w:pPr>
      <w:r>
        <w:rPr>
          <w:rFonts w:ascii="Arial" w:cs="Arial" w:eastAsia="Arial" w:hAnsi="Arial"/>
          <w:b/>
          <w:bCs/>
          <w:color w:val="561217"/>
          <w:sz w:val="26"/>
          <w:szCs w:val="26"/>
        </w:rPr>
        <w:t xml:space="preserve">Campaign Intervention Prohibition</w:t>
      </w:r>
    </w:p>
    <w:p>
      <w:pPr>
        <w:spacing w:after="120" w:before="60" w:line="320"/>
        <w:jc w:val="both"/>
      </w:pPr>
      <w:r>
        <w:rPr>
          <w:rFonts w:ascii="Arial" w:cs="Arial" w:eastAsia="Arial" w:hAnsi="Arial"/>
          <w:color w:val="1F1E1E"/>
          <w:sz w:val="22"/>
          <w:szCs w:val="22"/>
        </w:rPr>
        <w:t xml:space="preserve">The Foundation, as an organization exempt under IRC § 501(c)(3), is absolutely prohibited from participating in, or intervening in (including the publishing or distributing of statements), any political campaign on behalf of, or in opposition to, any candidate for elective public office (Rev. Rul. 2007-41; IRS Pub. 1828).</w:t>
      </w:r>
    </w:p>
    <w:p>
      <w:pPr>
        <w:spacing w:after="120" w:before="60" w:line="320"/>
        <w:jc w:val="both"/>
      </w:pPr>
      <w:r>
        <w:rPr>
          <w:rFonts w:ascii="Arial" w:cs="Arial" w:eastAsia="Arial" w:hAnsi="Arial"/>
          <w:color w:val="1F1E1E"/>
          <w:sz w:val="22"/>
          <w:szCs w:val="22"/>
        </w:rPr>
        <w:t xml:space="preserve">No person may, on any Foundation account or in any context that attributes the statement to the Foundation:</w:t>
      </w:r>
    </w:p>
    <w:p>
      <w:pPr>
        <w:spacing w:after="120" w:before="60" w:line="320"/>
        <w:jc w:val="both"/>
      </w:pPr>
      <w:r>
        <w:rPr>
          <w:rFonts w:ascii="Arial" w:cs="Arial" w:eastAsia="Arial" w:hAnsi="Arial"/>
          <w:color w:val="1F1E1E"/>
          <w:sz w:val="22"/>
          <w:szCs w:val="22"/>
        </w:rPr>
        <w:t xml:space="preserve">(a) endorse, oppose, or rate candidates for elective public office; (b) make financial contributions or in-kind expenditures supporting a candidate; (c) host events that favor or oppose a candidate.</w:t>
      </w:r>
    </w:p>
    <w:p>
      <w:pPr>
        <w:spacing w:after="120" w:before="60" w:line="320"/>
        <w:jc w:val="both"/>
      </w:pPr>
      <w:r>
        <w:rPr>
          <w:rFonts w:ascii="Arial" w:cs="Arial" w:eastAsia="Arial" w:hAnsi="Arial"/>
          <w:color w:val="1F1E1E"/>
          <w:sz w:val="22"/>
          <w:szCs w:val="22"/>
        </w:rPr>
        <w:t xml:space="preserve">Personal social media use that clearly distinguishes personal views from Foundation positions, and does not invoke Foundation logos, accounts, or branding, is not subject to this prohibition. See also Holon Foundation Policy No. 19 (Lobbying and Advocacy Compliance Policy).</w:t>
      </w:r>
    </w:p>
    <w:p>
      <w:pPr>
        <w:keepNext/>
        <w:spacing w:after="160" w:before="360"/>
      </w:pPr>
      <w:r>
        <w:rPr>
          <w:rFonts w:ascii="Arial" w:cs="Arial" w:eastAsia="Arial" w:hAnsi="Arial"/>
          <w:b/>
          <w:bCs/>
          <w:color w:val="561217"/>
          <w:sz w:val="26"/>
          <w:szCs w:val="26"/>
        </w:rPr>
        <w:t xml:space="preserve">Personal Social Media Use</w:t>
      </w:r>
    </w:p>
    <w:p>
      <w:pPr>
        <w:spacing w:after="120" w:before="60" w:line="320"/>
        <w:jc w:val="both"/>
      </w:pPr>
      <w:r>
        <w:rPr>
          <w:rFonts w:ascii="Arial" w:cs="Arial" w:eastAsia="Arial" w:hAnsi="Arial"/>
          <w:color w:val="1F1E1E"/>
          <w:sz w:val="22"/>
          <w:szCs w:val="22"/>
        </w:rPr>
        <w:t xml:space="preserve">When board members, staff, or volunteers use personal social media:</w:t>
      </w:r>
    </w:p>
    <w:p>
      <w:pPr>
        <w:pStyle w:val="ListParagraph"/>
        <w:numPr>
          <w:ilvl w:val="0"/>
          <w:numId w:val="2"/>
        </w:numPr>
        <w:spacing w:after="40" w:before="40" w:line="300"/>
      </w:pPr>
      <w:r>
        <w:rPr>
          <w:rFonts w:ascii="Arial" w:cs="Arial" w:eastAsia="Arial" w:hAnsi="Arial"/>
          <w:color w:val="1F1E1E"/>
          <w:sz w:val="22"/>
          <w:szCs w:val="22"/>
        </w:rPr>
        <w:t xml:space="preserve">Clearly distinguish personal opinions from organizational positions (e.g., "Views are my own, not those of Holon Foundation").</w:t>
      </w:r>
    </w:p>
    <w:p>
      <w:pPr>
        <w:pStyle w:val="ListParagraph"/>
        <w:numPr>
          <w:ilvl w:val="0"/>
          <w:numId w:val="2"/>
        </w:numPr>
        <w:spacing w:after="40" w:before="40" w:line="300"/>
      </w:pPr>
      <w:r>
        <w:rPr>
          <w:rFonts w:ascii="Arial" w:cs="Arial" w:eastAsia="Arial" w:hAnsi="Arial"/>
          <w:color w:val="1F1E1E"/>
          <w:sz w:val="22"/>
          <w:szCs w:val="22"/>
        </w:rPr>
        <w:t xml:space="preserve">Do not disclose confidential or non-public organizational information, consistent with Holon Foundation Policy No. 09.</w:t>
      </w:r>
    </w:p>
    <w:p>
      <w:pPr>
        <w:pStyle w:val="ListParagraph"/>
        <w:numPr>
          <w:ilvl w:val="0"/>
          <w:numId w:val="2"/>
        </w:numPr>
        <w:spacing w:after="40" w:before="40" w:line="300"/>
      </w:pPr>
      <w:r>
        <w:rPr>
          <w:rFonts w:ascii="Arial" w:cs="Arial" w:eastAsia="Arial" w:hAnsi="Arial"/>
          <w:color w:val="1F1E1E"/>
          <w:sz w:val="22"/>
          <w:szCs w:val="22"/>
        </w:rPr>
        <w:t xml:space="preserve">Avoid disclosing non-public organizational information and avoid speaking on behalf of the Foundation without authorization.</w:t>
      </w:r>
    </w:p>
    <w:p>
      <w:pPr>
        <w:pStyle w:val="ListParagraph"/>
        <w:numPr>
          <w:ilvl w:val="0"/>
          <w:numId w:val="2"/>
        </w:numPr>
        <w:spacing w:after="40" w:before="40" w:line="300"/>
      </w:pPr>
      <w:r>
        <w:rPr>
          <w:rFonts w:ascii="Arial" w:cs="Arial" w:eastAsia="Arial" w:hAnsi="Arial"/>
          <w:color w:val="1F1E1E"/>
          <w:sz w:val="22"/>
          <w:szCs w:val="22"/>
        </w:rPr>
        <w:t xml:space="preserve">Be mindful that personal posts may be perceived as representing the organization.</w:t>
      </w:r>
    </w:p>
    <w:p>
      <w:pPr>
        <w:pStyle w:val="ListParagraph"/>
        <w:numPr>
          <w:ilvl w:val="0"/>
          <w:numId w:val="2"/>
        </w:numPr>
        <w:spacing w:after="40" w:before="40" w:line="300"/>
      </w:pPr>
      <w:r>
        <w:rPr>
          <w:rFonts w:ascii="Arial" w:cs="Arial" w:eastAsia="Arial" w:hAnsi="Arial"/>
          <w:color w:val="1F1E1E"/>
          <w:sz w:val="22"/>
          <w:szCs w:val="22"/>
        </w:rPr>
        <w:t xml:space="preserve">Report any negative or misleading social media content about Holon Foundation to the Executive Director.</w:t>
      </w:r>
    </w:p>
    <w:p>
      <w:pPr>
        <w:spacing w:after="120" w:before="60" w:line="320"/>
        <w:jc w:val="both"/>
      </w:pPr>
      <w:r>
        <w:rPr>
          <w:rFonts w:ascii="Arial" w:cs="Arial" w:eastAsia="Arial" w:hAnsi="Arial"/>
          <w:b/>
          <w:bCs/>
          <w:color w:val="1F1E1E"/>
          <w:sz w:val="22"/>
          <w:szCs w:val="22"/>
        </w:rPr>
        <w:t xml:space="preserve">NLRA Savings Clause.</w:t>
      </w:r>
      <w:r>
        <w:rPr>
          <w:rFonts w:ascii="Arial" w:cs="Arial" w:eastAsia="Arial" w:hAnsi="Arial"/>
          <w:color w:val="1F1E1E"/>
          <w:sz w:val="22"/>
          <w:szCs w:val="22"/>
        </w:rPr>
        <w:t xml:space="preserve"> This Policy does not restrict any employee's right under Section 7 of the National Labor Relations Act (29 U.S.C. § 157) to engage in protected concerted activity, including discussions with co-workers about wages, hours, terms or conditions of employment, or organizing activities. Personal expression of opinion on matters of public concern, including criticism of public policy or commentary on the Foundation's positions, remains protected; this Policy regulates only the manner in which such expression could be attributed to the Foundation.</w:t>
      </w:r>
    </w:p>
    <w:p>
      <w:pPr>
        <w:keepNext/>
        <w:spacing w:after="160" w:before="360"/>
      </w:pPr>
      <w:r>
        <w:rPr>
          <w:rFonts w:ascii="Arial" w:cs="Arial" w:eastAsia="Arial" w:hAnsi="Arial"/>
          <w:b/>
          <w:bCs/>
          <w:color w:val="561217"/>
          <w:sz w:val="26"/>
          <w:szCs w:val="26"/>
        </w:rPr>
        <w:t xml:space="preserve">Content Guidelines</w:t>
      </w:r>
    </w:p>
    <w:p>
      <w:pPr>
        <w:pStyle w:val="ListParagraph"/>
        <w:numPr>
          <w:ilvl w:val="0"/>
          <w:numId w:val="2"/>
        </w:numPr>
        <w:spacing w:after="40" w:before="40" w:line="300"/>
      </w:pPr>
      <w:r>
        <w:rPr>
          <w:rFonts w:ascii="Arial" w:cs="Arial" w:eastAsia="Arial" w:hAnsi="Arial"/>
          <w:color w:val="1F1E1E"/>
          <w:sz w:val="22"/>
          <w:szCs w:val="22"/>
        </w:rPr>
        <w:t xml:space="preserve">All official content should reflect the Foundation's values of stewardship, integrity, respect, and inclusion.</w:t>
      </w:r>
    </w:p>
    <w:p>
      <w:pPr>
        <w:pStyle w:val="ListParagraph"/>
        <w:numPr>
          <w:ilvl w:val="0"/>
          <w:numId w:val="2"/>
        </w:numPr>
        <w:spacing w:after="40" w:before="40" w:line="300"/>
      </w:pPr>
      <w:r>
        <w:rPr>
          <w:rFonts w:ascii="Arial" w:cs="Arial" w:eastAsia="Arial" w:hAnsi="Arial"/>
          <w:color w:val="1F1E1E"/>
          <w:sz w:val="22"/>
          <w:szCs w:val="22"/>
        </w:rPr>
        <w:t xml:space="preserve">Respect copyright and intellectual property rights.</w:t>
      </w:r>
    </w:p>
    <w:p>
      <w:pPr>
        <w:pStyle w:val="ListParagraph"/>
        <w:numPr>
          <w:ilvl w:val="0"/>
          <w:numId w:val="2"/>
        </w:numPr>
        <w:spacing w:after="40" w:before="40" w:line="300"/>
      </w:pPr>
      <w:r>
        <w:rPr>
          <w:rFonts w:ascii="Arial" w:cs="Arial" w:eastAsia="Arial" w:hAnsi="Arial"/>
          <w:color w:val="1F1E1E"/>
          <w:sz w:val="22"/>
          <w:szCs w:val="22"/>
        </w:rPr>
        <w:t xml:space="preserve">Do not engage with trolls or hostile commenters; escalate to leadership if needed.</w:t>
      </w:r>
    </w:p>
    <w:p>
      <w:pPr>
        <w:pStyle w:val="ListParagraph"/>
        <w:numPr>
          <w:ilvl w:val="0"/>
          <w:numId w:val="2"/>
        </w:numPr>
        <w:spacing w:after="40" w:before="40" w:line="300"/>
      </w:pPr>
      <w:r>
        <w:rPr>
          <w:rFonts w:ascii="Arial" w:cs="Arial" w:eastAsia="Arial" w:hAnsi="Arial"/>
          <w:color w:val="1F1E1E"/>
          <w:sz w:val="22"/>
          <w:szCs w:val="22"/>
        </w:rPr>
        <w:t xml:space="preserve">Maintain a positive, educational, and mission-focused tone.</w:t>
      </w:r>
    </w:p>
    <w:p>
      <w:pPr>
        <w:keepNext/>
        <w:spacing w:after="120" w:before="240"/>
      </w:pPr>
      <w:r>
        <w:rPr>
          <w:rFonts w:ascii="Arial" w:cs="Arial" w:eastAsia="Arial" w:hAnsi="Arial"/>
          <w:b/>
          <w:bCs/>
          <w:color w:val="3B5937"/>
          <w:sz w:val="22"/>
          <w:szCs w:val="22"/>
        </w:rPr>
        <w:t xml:space="preserve">Image and Likeness Consent</w:t>
      </w:r>
    </w:p>
    <w:p>
      <w:pPr>
        <w:spacing w:after="120" w:before="60" w:line="320"/>
        <w:jc w:val="both"/>
      </w:pPr>
      <w:r>
        <w:rPr>
          <w:rFonts w:ascii="Arial" w:cs="Arial" w:eastAsia="Arial" w:hAnsi="Arial"/>
          <w:color w:val="1F1E1E"/>
          <w:sz w:val="22"/>
          <w:szCs w:val="22"/>
        </w:rPr>
        <w:t xml:space="preserve">Before posting any photo, video, or audio featuring an identifiable individual, the responsible person shall obtain a signed Photo and Video Release using the Foundation's standard form. For individuals under thirteen (13) years of age, </w:t>
      </w:r>
      <w:r>
        <w:rPr>
          <w:rFonts w:ascii="Arial" w:cs="Arial" w:eastAsia="Arial" w:hAnsi="Arial"/>
          <w:b/>
          <w:bCs/>
          <w:color w:val="1F1E1E"/>
          <w:sz w:val="22"/>
          <w:szCs w:val="22"/>
        </w:rPr>
        <w:t xml:space="preserve">verifiable parental consent</w:t>
      </w:r>
      <w:r>
        <w:rPr>
          <w:rFonts w:ascii="Arial" w:cs="Arial" w:eastAsia="Arial" w:hAnsi="Arial"/>
          <w:color w:val="1F1E1E"/>
          <w:sz w:val="22"/>
          <w:szCs w:val="22"/>
        </w:rPr>
        <w:t xml:space="preserve"> is required in compliance with COPPA, 16 C.F.R. § 312. For individuals aged 13–17, consent is required under the </w:t>
      </w:r>
      <w:r>
        <w:rPr>
          <w:rFonts w:ascii="Arial" w:cs="Arial" w:eastAsia="Arial" w:hAnsi="Arial"/>
          <w:b/>
          <w:bCs/>
          <w:color w:val="1F1E1E"/>
          <w:sz w:val="22"/>
          <w:szCs w:val="22"/>
        </w:rPr>
        <w:t xml:space="preserve">Texas SCOPE Act</w:t>
      </w:r>
      <w:r>
        <w:rPr>
          <w:rFonts w:ascii="Arial" w:cs="Arial" w:eastAsia="Arial" w:hAnsi="Arial"/>
          <w:color w:val="1F1E1E"/>
          <w:sz w:val="22"/>
          <w:szCs w:val="22"/>
        </w:rPr>
        <w:t xml:space="preserve"> (Bus. &amp; Com. Code Ch. 509). Releases shall be retained per Holon Foundation Policy No. 06.</w:t>
      </w:r>
    </w:p>
    <w:p>
      <w:pPr>
        <w:keepNext/>
        <w:spacing w:after="120" w:before="240"/>
      </w:pPr>
      <w:r>
        <w:rPr>
          <w:rFonts w:ascii="Arial" w:cs="Arial" w:eastAsia="Arial" w:hAnsi="Arial"/>
          <w:b/>
          <w:bCs/>
          <w:color w:val="3B5937"/>
          <w:sz w:val="22"/>
          <w:szCs w:val="22"/>
        </w:rPr>
        <w:t xml:space="preserve">FTC Endorsements</w:t>
      </w:r>
    </w:p>
    <w:p>
      <w:pPr>
        <w:spacing w:after="120" w:before="60" w:line="320"/>
        <w:jc w:val="both"/>
      </w:pPr>
      <w:r>
        <w:rPr>
          <w:rFonts w:ascii="Arial" w:cs="Arial" w:eastAsia="Arial" w:hAnsi="Arial"/>
          <w:color w:val="1F1E1E"/>
          <w:sz w:val="22"/>
          <w:szCs w:val="22"/>
        </w:rPr>
        <w:t xml:space="preserve">When the Foundation or its representatives endorse, recommend, or feature products, services, or partners on social media, material connections (including any compensation, donation relationship, or partnership) shall be disclosed clearly and conspicuously, in compliance with FTC Endorsement Guides at 16 C.F.R. § 255.5.</w:t>
      </w:r>
    </w:p>
    <w:p>
      <w:pPr>
        <w:keepNext/>
        <w:spacing w:after="120" w:before="240"/>
      </w:pPr>
      <w:r>
        <w:rPr>
          <w:rFonts w:ascii="Arial" w:cs="Arial" w:eastAsia="Arial" w:hAnsi="Arial"/>
          <w:b/>
          <w:bCs/>
          <w:color w:val="3B5937"/>
          <w:sz w:val="22"/>
          <w:szCs w:val="22"/>
        </w:rPr>
        <w:t xml:space="preserve">AI-Generated Content</w:t>
      </w:r>
    </w:p>
    <w:p>
      <w:pPr>
        <w:spacing w:after="120" w:before="60" w:line="320"/>
        <w:jc w:val="both"/>
      </w:pPr>
      <w:r>
        <w:rPr>
          <w:rFonts w:ascii="Arial" w:cs="Arial" w:eastAsia="Arial" w:hAnsi="Arial"/>
          <w:color w:val="1F1E1E"/>
          <w:sz w:val="22"/>
          <w:szCs w:val="22"/>
        </w:rPr>
        <w:t xml:space="preserve">Any social media or public-communications content that has been substantially generated or transformed by artificial intelligence (including text, images, video, or audio) shall be labeled as such, consistent with Holon Foundation Policy No. 17 (AI and Technology Ethics Policy) and applicable platform requirements (including TRAIGA transparency obligations). Synthetic media that could be mistaken for a real recording of an identifiable person (deepfakes) is prohibited as set forth in Policy No. 17.</w:t>
      </w:r>
    </w:p>
    <w:p>
      <w:pPr>
        <w:keepNext/>
        <w:spacing w:after="160" w:before="360"/>
      </w:pPr>
      <w:r>
        <w:rPr>
          <w:rFonts w:ascii="Arial" w:cs="Arial" w:eastAsia="Arial" w:hAnsi="Arial"/>
          <w:b/>
          <w:bCs/>
          <w:color w:val="561217"/>
          <w:sz w:val="26"/>
          <w:szCs w:val="26"/>
        </w:rPr>
        <w:t xml:space="preserve">Crisis Communications</w:t>
      </w:r>
    </w:p>
    <w:p>
      <w:pPr>
        <w:spacing w:after="120" w:before="60" w:line="320"/>
        <w:jc w:val="both"/>
      </w:pPr>
      <w:r>
        <w:rPr>
          <w:rFonts w:ascii="Arial" w:cs="Arial" w:eastAsia="Arial" w:hAnsi="Arial"/>
          <w:color w:val="1F1E1E"/>
          <w:sz w:val="22"/>
          <w:szCs w:val="22"/>
        </w:rPr>
        <w:t xml:space="preserve">In the event of a public relations crisis or negative media attention:</w:t>
      </w:r>
    </w:p>
    <w:p>
      <w:pPr>
        <w:spacing w:after="120" w:before="60" w:line="320"/>
        <w:jc w:val="both"/>
      </w:pPr>
      <w:r>
        <w:rPr>
          <w:rFonts w:ascii="Arial" w:cs="Arial" w:eastAsia="Arial" w:hAnsi="Arial"/>
          <w:color w:val="1F1E1E"/>
          <w:sz w:val="22"/>
          <w:szCs w:val="22"/>
        </w:rPr>
        <w:t xml:space="preserve">1. All public comment is suspended until the Board Chair and Executive Director coordinate a response. 2. Board members and staff refrain from individual public comment about the matter. 3. A designated spokesperson delivers all official statements. 4. Internal stakeholders are briefed before or simultaneously with public communication.</w:t>
      </w:r>
    </w:p>
    <w:p>
      <w:pPr>
        <w:keepNext/>
        <w:spacing w:after="120" w:before="240"/>
      </w:pPr>
      <w:r>
        <w:rPr>
          <w:rFonts w:ascii="Arial" w:cs="Arial" w:eastAsia="Arial" w:hAnsi="Arial"/>
          <w:b/>
          <w:bCs/>
          <w:color w:val="3B5937"/>
          <w:sz w:val="22"/>
          <w:szCs w:val="22"/>
        </w:rPr>
        <w:t xml:space="preserve">Account Compromise</w:t>
      </w:r>
    </w:p>
    <w:p>
      <w:pPr>
        <w:spacing w:after="120" w:before="60" w:line="320"/>
        <w:jc w:val="both"/>
      </w:pPr>
      <w:r>
        <w:rPr>
          <w:rFonts w:ascii="Arial" w:cs="Arial" w:eastAsia="Arial" w:hAnsi="Arial"/>
          <w:color w:val="1F1E1E"/>
          <w:sz w:val="22"/>
          <w:szCs w:val="22"/>
        </w:rPr>
        <w:t xml:space="preserve">If a Foundation social media account is or appears to be compromised, hacked, or used without authorization, the Executive Director and IT lead shall be notified immediately, the platform shall be informed within four (4) hours, and a written incident record shall be created and added to the Litigation Hold Register if applicable.</w:t>
      </w:r>
    </w:p>
    <w:p>
      <w:pPr>
        <w:keepNext/>
        <w:spacing w:after="120" w:before="240"/>
      </w:pPr>
      <w:r>
        <w:rPr>
          <w:rFonts w:ascii="Arial" w:cs="Arial" w:eastAsia="Arial" w:hAnsi="Arial"/>
          <w:b/>
          <w:bCs/>
          <w:color w:val="3B5937"/>
          <w:sz w:val="22"/>
          <w:szCs w:val="22"/>
        </w:rPr>
        <w:t xml:space="preserve">Legal Issues</w:t>
      </w:r>
    </w:p>
    <w:p>
      <w:pPr>
        <w:spacing w:after="120" w:before="60" w:line="320"/>
        <w:jc w:val="both"/>
      </w:pPr>
      <w:r>
        <w:rPr>
          <w:rFonts w:ascii="Arial" w:cs="Arial" w:eastAsia="Arial" w:hAnsi="Arial"/>
          <w:color w:val="1F1E1E"/>
          <w:sz w:val="22"/>
          <w:szCs w:val="22"/>
        </w:rPr>
        <w:t xml:space="preserve">Any communication crisis involving potential defamation, threats of litigation, regulatory inquiry, or law-enforcement contact shall be escalated to outside counsel before public response. If the crisis relates to a matter under investigation pursuant to Holon Foundation Policy No. 05 (Whistleblower Protection Policy), no public communication shall be issued without the Audit Committee Chair's coordination.</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14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14  ·  SOCIAL MEDIA AND COMMUNICATIONS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Communications Policy</dc:title>
  <dc:creator>Holon Foundation</dc:creator>
  <dc:description>Holon Foundation — Policy No. 14</dc:description>
  <cp:lastModifiedBy>Un-named</cp:lastModifiedBy>
  <cp:revision>1</cp:revision>
  <dcterms:created xsi:type="dcterms:W3CDTF">2026-05-21T02:41:41.749Z</dcterms:created>
  <dcterms:modified xsi:type="dcterms:W3CDTF">2026-05-21T02:41:41.750Z</dcterms:modified>
</cp:coreProperties>
</file>

<file path=docProps/custom.xml><?xml version="1.0" encoding="utf-8"?>
<Properties xmlns="http://schemas.openxmlformats.org/officeDocument/2006/custom-properties" xmlns:vt="http://schemas.openxmlformats.org/officeDocument/2006/docPropsVTypes"/>
</file>