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11</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Investment Policy Statement (IPS)</w:t>
      </w:r>
    </w:p>
    <w:p>
      <w:pPr>
        <w:spacing w:after="0" w:before="0"/>
        <w:jc w:val="center"/>
      </w:pPr>
      <w:r>
        <w:rPr>
          <w:rFonts w:ascii="Arial" w:cs="Arial" w:eastAsia="Arial" w:hAnsi="Arial"/>
          <w:i/>
          <w:iCs/>
          <w:color w:val="4A4A4A"/>
          <w:sz w:val="20"/>
          <w:szCs w:val="20"/>
        </w:rPr>
        <w:t xml:space="preserve">Holon Foundation — Policy No. 11</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Added UPMIFA Legal Foundation invoking Texas Property Code §§ 163.001 et seq. and the eight-factor prudence test of § 163.005, establishing the controlling standard for nonprofit investment management in Texas.</w:t>
      </w:r>
    </w:p>
    <w:p>
      <w:pPr>
        <w:pStyle w:val="ListParagraph"/>
        <w:numPr>
          <w:ilvl w:val="0"/>
          <w:numId w:val="2"/>
        </w:numPr>
        <w:spacing w:after="40" w:before="40" w:line="300"/>
      </w:pPr>
      <w:r>
        <w:rPr>
          <w:rFonts w:ascii="Arial" w:cs="Arial" w:eastAsia="Arial" w:hAnsi="Arial"/>
          <w:color w:val="1F1E1E"/>
          <w:sz w:val="22"/>
          <w:szCs w:val="22"/>
        </w:rPr>
        <w:t xml:space="preserve">Specified target / range bands for the Long-Term / Endowment portfolio with rebalancing thresholds and quarterly review cadence, replacing generic asset-allocation language.</w:t>
      </w:r>
    </w:p>
    <w:p>
      <w:pPr>
        <w:pStyle w:val="ListParagraph"/>
        <w:numPr>
          <w:ilvl w:val="0"/>
          <w:numId w:val="2"/>
        </w:numPr>
        <w:spacing w:after="40" w:before="40" w:line="300"/>
      </w:pPr>
      <w:r>
        <w:rPr>
          <w:rFonts w:ascii="Arial" w:cs="Arial" w:eastAsia="Arial" w:hAnsi="Arial"/>
          <w:color w:val="1F1E1E"/>
          <w:sz w:val="22"/>
          <w:szCs w:val="22"/>
        </w:rPr>
        <w:t xml:space="preserve">Added Spending Policy section (4.5% trailing-twelve-quarter average) with the seven UPMIFA factors, applicable upon receipt of any endowed fund and reportable on Form 990 Schedule D.</w:t>
      </w:r>
    </w:p>
    <w:p>
      <w:pPr>
        <w:pStyle w:val="ListParagraph"/>
        <w:numPr>
          <w:ilvl w:val="0"/>
          <w:numId w:val="2"/>
        </w:numPr>
        <w:spacing w:after="40" w:before="40" w:line="300"/>
      </w:pPr>
      <w:r>
        <w:rPr>
          <w:rFonts w:ascii="Arial" w:cs="Arial" w:eastAsia="Arial" w:hAnsi="Arial"/>
          <w:color w:val="1F1E1E"/>
          <w:sz w:val="22"/>
          <w:szCs w:val="22"/>
        </w:rPr>
        <w:t xml:space="preserve">Tied the Responsible Investment screen to UPMIFA § 163.005(e) (charitable-purposes factor) and added a Mission-Related and Program-Related Investment framework consistent with IRS Notice 2015-62.</w:t>
      </w:r>
    </w:p>
    <w:p>
      <w:pPr>
        <w:pStyle w:val="ListParagraph"/>
        <w:numPr>
          <w:ilvl w:val="0"/>
          <w:numId w:val="2"/>
        </w:numPr>
        <w:spacing w:after="40" w:before="40" w:line="300"/>
      </w:pPr>
      <w:r>
        <w:rPr>
          <w:rFonts w:ascii="Arial" w:cs="Arial" w:eastAsia="Arial" w:hAnsi="Arial"/>
          <w:color w:val="1F1E1E"/>
          <w:sz w:val="22"/>
          <w:szCs w:val="22"/>
        </w:rPr>
        <w:t xml:space="preserve">Added External Investment Advisor selection / termination criteria with fiduciary-status requirement and Conflicts cross-reference to Policy No. 04.</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Purpose</w:t>
      </w:r>
    </w:p>
    <w:p>
      <w:pPr>
        <w:spacing w:after="120" w:before="60" w:line="320"/>
        <w:jc w:val="both"/>
      </w:pPr>
      <w:r>
        <w:rPr>
          <w:rFonts w:ascii="Arial" w:cs="Arial" w:eastAsia="Arial" w:hAnsi="Arial"/>
          <w:color w:val="1F1E1E"/>
          <w:sz w:val="22"/>
          <w:szCs w:val="22"/>
        </w:rPr>
        <w:t xml:space="preserve">This Investment Policy Statement (IPS) provides guidelines for the investment of Holon Foundation's financial assets, including operating reserves, board-designated reserves, and any endowment funds. The policy seeks to preserve capital, maintain adequate liquidity, and achieve reasonable returns consistent with the Foundation's risk tolerance and fiduciary obligations.</w:t>
      </w:r>
    </w:p>
    <w:p>
      <w:pPr>
        <w:keepNext/>
        <w:spacing w:after="160" w:before="360"/>
      </w:pPr>
      <w:r>
        <w:rPr>
          <w:rFonts w:ascii="Arial" w:cs="Arial" w:eastAsia="Arial" w:hAnsi="Arial"/>
          <w:b/>
          <w:bCs/>
          <w:color w:val="561217"/>
          <w:sz w:val="26"/>
          <w:szCs w:val="26"/>
        </w:rPr>
        <w:t xml:space="preserve">Legal Foundation</w:t>
      </w:r>
    </w:p>
    <w:p>
      <w:pPr>
        <w:spacing w:after="120" w:before="60" w:line="320"/>
        <w:jc w:val="both"/>
      </w:pPr>
      <w:r>
        <w:rPr>
          <w:rFonts w:ascii="Arial" w:cs="Arial" w:eastAsia="Arial" w:hAnsi="Arial"/>
          <w:color w:val="1F1E1E"/>
          <w:sz w:val="22"/>
          <w:szCs w:val="22"/>
        </w:rPr>
        <w:t xml:space="preserve">This IPS is adopted in compliance with the Texas Uniform Prudent Management of Institutional Funds Act, Texas Property Code §§ 163.001 et seq. ("</w:t>
      </w:r>
      <w:r>
        <w:rPr>
          <w:rFonts w:ascii="Arial" w:cs="Arial" w:eastAsia="Arial" w:hAnsi="Arial"/>
          <w:b/>
          <w:bCs/>
          <w:color w:val="1F1E1E"/>
          <w:sz w:val="22"/>
          <w:szCs w:val="22"/>
        </w:rPr>
        <w:t xml:space="preserve">UPMIFA</w:t>
      </w:r>
      <w:r>
        <w:rPr>
          <w:rFonts w:ascii="Arial" w:cs="Arial" w:eastAsia="Arial" w:hAnsi="Arial"/>
          <w:color w:val="1F1E1E"/>
          <w:sz w:val="22"/>
          <w:szCs w:val="22"/>
        </w:rPr>
        <w:t xml:space="preserve">"). In making investment and management decisions, the Board, Finance Committee, and any retained advisor shall exercise the standard of conduct required by UPMIFA § 163.005, including consideration of:</w:t>
      </w:r>
    </w:p>
    <w:p>
      <w:pPr>
        <w:spacing w:after="120" w:before="60" w:line="320"/>
        <w:jc w:val="both"/>
      </w:pPr>
      <w:r>
        <w:rPr>
          <w:rFonts w:ascii="Arial" w:cs="Arial" w:eastAsia="Arial" w:hAnsi="Arial"/>
          <w:color w:val="1F1E1E"/>
          <w:sz w:val="22"/>
          <w:szCs w:val="22"/>
        </w:rPr>
        <w:t xml:space="preserve">(1) general economic conditions; (2) the possible effect of inflation or deflation; (3) the expected tax consequences, if any; (4) the role each investment or course of action plays within the overall investment portfolio; (5) the expected total return from income and the appreciation of investments; (6) other resources of the Foundation; (7) the needs of the Foundation and the fund to make distributions and to preserve capital; and (8) an asset's special relationship or value, if any, to the charitable purposes of the Foundation.</w:t>
      </w:r>
    </w:p>
    <w:p>
      <w:pPr>
        <w:keepNext/>
        <w:spacing w:after="160" w:before="360"/>
      </w:pPr>
      <w:r>
        <w:rPr>
          <w:rFonts w:ascii="Arial" w:cs="Arial" w:eastAsia="Arial" w:hAnsi="Arial"/>
          <w:b/>
          <w:bCs/>
          <w:color w:val="561217"/>
          <w:sz w:val="26"/>
          <w:szCs w:val="26"/>
        </w:rPr>
        <w:t xml:space="preserve">Investment Objectives</w:t>
      </w:r>
    </w:p>
    <w:p>
      <w:pPr>
        <w:pStyle w:val="ListParagraph"/>
        <w:numPr>
          <w:ilvl w:val="0"/>
          <w:numId w:val="2"/>
        </w:numPr>
        <w:spacing w:after="40" w:before="40" w:line="300"/>
      </w:pPr>
      <w:r>
        <w:rPr>
          <w:rFonts w:ascii="Arial" w:cs="Arial" w:eastAsia="Arial" w:hAnsi="Arial"/>
          <w:color w:val="1F1E1E"/>
          <w:sz w:val="22"/>
          <w:szCs w:val="22"/>
        </w:rPr>
        <w:t xml:space="preserve">Preserve the purchasing power of assets over time.</w:t>
      </w:r>
    </w:p>
    <w:p>
      <w:pPr>
        <w:pStyle w:val="ListParagraph"/>
        <w:numPr>
          <w:ilvl w:val="0"/>
          <w:numId w:val="2"/>
        </w:numPr>
        <w:spacing w:after="40" w:before="40" w:line="300"/>
      </w:pPr>
      <w:r>
        <w:rPr>
          <w:rFonts w:ascii="Arial" w:cs="Arial" w:eastAsia="Arial" w:hAnsi="Arial"/>
          <w:color w:val="1F1E1E"/>
          <w:sz w:val="22"/>
          <w:szCs w:val="22"/>
        </w:rPr>
        <w:t xml:space="preserve">Maintain sufficient liquidity to meet operating needs and obligations.</w:t>
      </w:r>
    </w:p>
    <w:p>
      <w:pPr>
        <w:pStyle w:val="ListParagraph"/>
        <w:numPr>
          <w:ilvl w:val="0"/>
          <w:numId w:val="2"/>
        </w:numPr>
        <w:spacing w:after="40" w:before="40" w:line="300"/>
      </w:pPr>
      <w:r>
        <w:rPr>
          <w:rFonts w:ascii="Arial" w:cs="Arial" w:eastAsia="Arial" w:hAnsi="Arial"/>
          <w:color w:val="1F1E1E"/>
          <w:sz w:val="22"/>
          <w:szCs w:val="22"/>
        </w:rPr>
        <w:t xml:space="preserve">Generate investment returns that support the Foundation's programs and mission.</w:t>
      </w:r>
    </w:p>
    <w:p>
      <w:pPr>
        <w:pStyle w:val="ListParagraph"/>
        <w:numPr>
          <w:ilvl w:val="0"/>
          <w:numId w:val="2"/>
        </w:numPr>
        <w:spacing w:after="40" w:before="40" w:line="300"/>
      </w:pPr>
      <w:r>
        <w:rPr>
          <w:rFonts w:ascii="Arial" w:cs="Arial" w:eastAsia="Arial" w:hAnsi="Arial"/>
          <w:color w:val="1F1E1E"/>
          <w:sz w:val="22"/>
          <w:szCs w:val="22"/>
        </w:rPr>
        <w:t xml:space="preserve">Invest in a manner consistent with the Foundation's conservation values (see Mission-Aligned Investing section).</w:t>
      </w:r>
    </w:p>
    <w:p>
      <w:pPr>
        <w:keepNext/>
        <w:spacing w:after="160" w:before="360"/>
      </w:pPr>
      <w:r>
        <w:rPr>
          <w:rFonts w:ascii="Arial" w:cs="Arial" w:eastAsia="Arial" w:hAnsi="Arial"/>
          <w:b/>
          <w:bCs/>
          <w:color w:val="561217"/>
          <w:sz w:val="26"/>
          <w:szCs w:val="26"/>
        </w:rPr>
        <w:t xml:space="preserve">Asset Allocation</w:t>
      </w:r>
    </w:p>
    <w:p>
      <w:pPr>
        <w:spacing w:after="120" w:before="60" w:line="320"/>
        <w:jc w:val="both"/>
      </w:pPr>
      <w:r>
        <w:rPr>
          <w:rFonts w:ascii="Arial" w:cs="Arial" w:eastAsia="Arial" w:hAnsi="Arial"/>
          <w:color w:val="1F1E1E"/>
          <w:sz w:val="22"/>
          <w:szCs w:val="22"/>
        </w:rPr>
        <w:t xml:space="preserve">The Finance Committee shall establish and maintain an asset allocation appropriate to the Foundation's needs:</w:t>
      </w:r>
    </w:p>
    <w:p>
      <w:pPr>
        <w:keepNext/>
        <w:spacing w:after="120" w:before="240"/>
      </w:pPr>
      <w:r>
        <w:rPr>
          <w:rFonts w:ascii="Arial" w:cs="Arial" w:eastAsia="Arial" w:hAnsi="Arial"/>
          <w:b/>
          <w:bCs/>
          <w:color w:val="3B5937"/>
          <w:sz w:val="22"/>
          <w:szCs w:val="22"/>
        </w:rPr>
        <w:t xml:space="preserve">Operating Reserves (0–6 months expenses)</w:t>
      </w:r>
    </w:p>
    <w:p>
      <w:pPr>
        <w:spacing w:after="120" w:before="60" w:line="320"/>
        <w:jc w:val="both"/>
      </w:pPr>
      <w:r>
        <w:rPr>
          <w:rFonts w:ascii="Arial" w:cs="Arial" w:eastAsia="Arial" w:hAnsi="Arial"/>
          <w:color w:val="1F1E1E"/>
          <w:sz w:val="22"/>
          <w:szCs w:val="22"/>
        </w:rPr>
        <w:t xml:space="preserve">FDIC-insured bank accounts, money market funds, or short-term US Treasury securities. Priority: liquidity and capital preservation.</w:t>
      </w:r>
    </w:p>
    <w:p>
      <w:pPr>
        <w:keepNext/>
        <w:spacing w:after="120" w:before="240"/>
      </w:pPr>
      <w:r>
        <w:rPr>
          <w:rFonts w:ascii="Arial" w:cs="Arial" w:eastAsia="Arial" w:hAnsi="Arial"/>
          <w:b/>
          <w:bCs/>
          <w:color w:val="3B5937"/>
          <w:sz w:val="22"/>
          <w:szCs w:val="22"/>
        </w:rPr>
        <w:t xml:space="preserve">Board-Designated Reserves (6–24 months)</w:t>
      </w:r>
    </w:p>
    <w:p>
      <w:pPr>
        <w:spacing w:after="120" w:before="60" w:line="320"/>
        <w:jc w:val="both"/>
      </w:pPr>
      <w:r>
        <w:rPr>
          <w:rFonts w:ascii="Arial" w:cs="Arial" w:eastAsia="Arial" w:hAnsi="Arial"/>
          <w:color w:val="1F1E1E"/>
          <w:sz w:val="22"/>
          <w:szCs w:val="22"/>
        </w:rPr>
        <w:t xml:space="preserve">Diversified portfolio of investment-grade fixed income, balanced funds, or short-to-intermediate bond funds. Priority: capital preservation with modest growth.</w:t>
      </w:r>
    </w:p>
    <w:p>
      <w:pPr>
        <w:keepNext/>
        <w:spacing w:after="120" w:before="240"/>
      </w:pPr>
      <w:r>
        <w:rPr>
          <w:rFonts w:ascii="Arial" w:cs="Arial" w:eastAsia="Arial" w:hAnsi="Arial"/>
          <w:b/>
          <w:bCs/>
          <w:color w:val="3B5937"/>
          <w:sz w:val="22"/>
          <w:szCs w:val="22"/>
        </w:rPr>
        <w:t xml:space="preserve">Long-Term / Endowment Funds — Target Allocation</w:t>
      </w:r>
    </w:p>
    <w:p>
      <w:pPr>
        <w:spacing w:after="120" w:before="60" w:line="320"/>
        <w:jc w:val="both"/>
      </w:pPr>
      <w:r>
        <w:rPr>
          <w:rFonts w:ascii="Arial" w:cs="Arial" w:eastAsia="Arial" w:hAnsi="Arial"/>
          <w:color w:val="1F1E1E"/>
          <w:sz w:val="22"/>
          <w:szCs w:val="22"/>
        </w:rPr>
        <w:t xml:space="preserve">The Finance Committee shall maintain the following target allocation for long-term funds (those held with a horizon of five (5) or more years), subject to rebalancing when any asset class deviates by more than the stated threshold: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Asset Class</w:t>
            </w:r>
          </w:p>
        </w:tc>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Target</w:t>
            </w:r>
          </w:p>
        </w:tc>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Range</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Equities (domestic + international)</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60%</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50–70%</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Fixed Income (investment-grade)</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30%</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25–40%</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Alternative Investments (REITs, multi-asset funds; no private equity or hedge funds in Phase 1)</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10%</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0–15%</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Cash / Equivalents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minimum 2% for liquidity</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w:t>
            </w:r>
          </w:p>
        </w:tc>
      </w:tr>
    </w:tbl>
    <w:p>
      <w:pPr>
        <w:spacing w:after="120" w:before="60" w:line="320"/>
        <w:jc w:val="both"/>
      </w:pPr>
      <w:r>
        <w:rPr>
          <w:rFonts w:ascii="Arial" w:cs="Arial" w:eastAsia="Arial" w:hAnsi="Arial"/>
          <w:color w:val="1F1E1E"/>
          <w:sz w:val="22"/>
          <w:szCs w:val="22"/>
        </w:rPr>
        <w:t xml:space="preserve">Rebalancing shall be reviewed quarterly and executed when any asset class deviates by more than five (5) percentage points from target.</w:t>
      </w:r>
    </w:p>
    <w:p>
      <w:pPr>
        <w:keepNext/>
        <w:spacing w:after="160" w:before="360"/>
      </w:pPr>
      <w:r>
        <w:rPr>
          <w:rFonts w:ascii="Arial" w:cs="Arial" w:eastAsia="Arial" w:hAnsi="Arial"/>
          <w:b/>
          <w:bCs/>
          <w:color w:val="561217"/>
          <w:sz w:val="26"/>
          <w:szCs w:val="26"/>
        </w:rPr>
        <w:t xml:space="preserve">Spending Policy (Endowment)</w:t>
      </w:r>
    </w:p>
    <w:p>
      <w:pPr>
        <w:spacing w:after="120" w:before="60" w:line="320"/>
        <w:jc w:val="both"/>
      </w:pPr>
      <w:r>
        <w:rPr>
          <w:rFonts w:ascii="Arial" w:cs="Arial" w:eastAsia="Arial" w:hAnsi="Arial"/>
          <w:color w:val="1F1E1E"/>
          <w:sz w:val="22"/>
          <w:szCs w:val="22"/>
        </w:rPr>
        <w:t xml:space="preserve">For any endowment fund subject to UPMIFA, the Foundation shall annually appropriate for expenditure an amount equal to four and one-half percent (4.5%) of the trailing twelve-quarter average market value of the fund, subject to the prudence analysis required by Texas Property Code § 163.006(d).</w:t>
      </w:r>
    </w:p>
    <w:p>
      <w:pPr>
        <w:spacing w:after="120" w:before="60" w:line="320"/>
        <w:jc w:val="both"/>
      </w:pPr>
      <w:r>
        <w:rPr>
          <w:rFonts w:ascii="Arial" w:cs="Arial" w:eastAsia="Arial" w:hAnsi="Arial"/>
          <w:color w:val="1F1E1E"/>
          <w:sz w:val="22"/>
          <w:szCs w:val="22"/>
        </w:rPr>
        <w:t xml:space="preserve">The Finance Committee shall consider all UPMIFA factors before approving any appropriation and shall document the analysis in the minutes. No appropriation shall be made that would reduce the fund below the historic-dollar value of donor-restricted contributions, except upon a finding by majority vote of the Finance Committee that such reduction is prudent and consistent with donor intent.</w:t>
      </w:r>
    </w:p>
    <w:p>
      <w:pPr>
        <w:spacing w:after="120" w:before="60" w:line="320"/>
        <w:jc w:val="both"/>
      </w:pPr>
      <w:r>
        <w:rPr>
          <w:rFonts w:ascii="Arial" w:cs="Arial" w:eastAsia="Arial" w:hAnsi="Arial"/>
          <w:color w:val="1F1E1E"/>
          <w:sz w:val="22"/>
          <w:szCs w:val="22"/>
        </w:rPr>
        <w:t xml:space="preserve">Endowment composition and spending shall be reported on Form 990 Schedule D Part V.</w:t>
      </w:r>
    </w:p>
    <w:p>
      <w:pPr>
        <w:keepNext/>
        <w:spacing w:after="160" w:before="360"/>
      </w:pPr>
      <w:r>
        <w:rPr>
          <w:rFonts w:ascii="Arial" w:cs="Arial" w:eastAsia="Arial" w:hAnsi="Arial"/>
          <w:b/>
          <w:bCs/>
          <w:color w:val="561217"/>
          <w:sz w:val="26"/>
          <w:szCs w:val="26"/>
        </w:rPr>
        <w:t xml:space="preserve">Mission-Aligned Investing</w:t>
      </w:r>
    </w:p>
    <w:p>
      <w:pPr>
        <w:spacing w:after="120" w:before="60" w:line="320"/>
        <w:jc w:val="both"/>
      </w:pPr>
      <w:r>
        <w:rPr>
          <w:rFonts w:ascii="Arial" w:cs="Arial" w:eastAsia="Arial" w:hAnsi="Arial"/>
          <w:color w:val="1F1E1E"/>
          <w:sz w:val="22"/>
          <w:szCs w:val="22"/>
        </w:rPr>
        <w:t xml:space="preserve">Pursuant to UPMIFA § 163.005(e), the Foundation may consider its charitable purposes as a factor in investment decisions. The Finance Committee shall screen investments to avoid companies whose primary business activities are fundamentally inconsistent with the Foundation's conservation mission (including, without limitation, fossil fuel extraction, deforestation, industrial pollution, and weapons manufacturing).</w:t>
      </w:r>
    </w:p>
    <w:p>
      <w:pPr>
        <w:spacing w:after="120" w:before="60" w:line="320"/>
        <w:jc w:val="both"/>
      </w:pPr>
      <w:r>
        <w:rPr>
          <w:rFonts w:ascii="Arial" w:cs="Arial" w:eastAsia="Arial" w:hAnsi="Arial"/>
          <w:color w:val="1F1E1E"/>
          <w:sz w:val="22"/>
          <w:szCs w:val="22"/>
        </w:rPr>
        <w:t xml:space="preserve">The Foundation may, with explicit Board approval, make:</w:t>
      </w:r>
    </w:p>
    <w:p>
      <w:pPr>
        <w:pStyle w:val="ListParagraph"/>
        <w:numPr>
          <w:ilvl w:val="0"/>
          <w:numId w:val="2"/>
        </w:numPr>
        <w:spacing w:after="40" w:before="40" w:line="300"/>
      </w:pPr>
      <w:r>
        <w:rPr>
          <w:rFonts w:ascii="Arial" w:cs="Arial" w:eastAsia="Arial" w:hAnsi="Arial"/>
          <w:b/>
          <w:bCs/>
          <w:color w:val="1F1E1E"/>
          <w:sz w:val="22"/>
          <w:szCs w:val="22"/>
        </w:rPr>
        <w:t xml:space="preserve">Mission-Related Investments (MRIs)</w:t>
      </w:r>
      <w:r>
        <w:rPr>
          <w:rFonts w:ascii="Arial" w:cs="Arial" w:eastAsia="Arial" w:hAnsi="Arial"/>
          <w:color w:val="1F1E1E"/>
          <w:sz w:val="22"/>
          <w:szCs w:val="22"/>
        </w:rPr>
        <w:t xml:space="preserve"> that pursue both financial return and conservation impact; and</w:t>
      </w:r>
    </w:p>
    <w:p>
      <w:pPr>
        <w:pStyle w:val="ListParagraph"/>
        <w:numPr>
          <w:ilvl w:val="0"/>
          <w:numId w:val="2"/>
        </w:numPr>
        <w:spacing w:after="40" w:before="40" w:line="300"/>
      </w:pPr>
      <w:r>
        <w:rPr>
          <w:rFonts w:ascii="Arial" w:cs="Arial" w:eastAsia="Arial" w:hAnsi="Arial"/>
          <w:b/>
          <w:bCs/>
          <w:color w:val="1F1E1E"/>
          <w:sz w:val="22"/>
          <w:szCs w:val="22"/>
        </w:rPr>
        <w:t xml:space="preserve">Program-Related Investments (PRIs)</w:t>
      </w:r>
      <w:r>
        <w:rPr>
          <w:rFonts w:ascii="Arial" w:cs="Arial" w:eastAsia="Arial" w:hAnsi="Arial"/>
          <w:color w:val="1F1E1E"/>
          <w:sz w:val="22"/>
          <w:szCs w:val="22"/>
        </w:rPr>
        <w:t xml:space="preserve"> that prioritize charitable purpose over financial return,</w:t>
      </w:r>
    </w:p>
    <w:p>
      <w:pPr>
        <w:spacing w:after="120" w:before="60" w:line="320"/>
        <w:jc w:val="both"/>
      </w:pPr>
      <w:r>
        <w:rPr>
          <w:rFonts w:ascii="Arial" w:cs="Arial" w:eastAsia="Arial" w:hAnsi="Arial"/>
          <w:color w:val="1F1E1E"/>
          <w:sz w:val="22"/>
          <w:szCs w:val="22"/>
        </w:rPr>
        <w:t xml:space="preserve">all consistent with IRS Notice 2015-62 and the prudence standards of UPMIFA. The Foundation shall consider environmental, social, and governance (ESG) factors in investment selection and shall review investment holdings annually for mission alignment.</w:t>
      </w:r>
    </w:p>
    <w:p>
      <w:pPr>
        <w:keepNext/>
        <w:spacing w:after="160" w:before="360"/>
      </w:pPr>
      <w:r>
        <w:rPr>
          <w:rFonts w:ascii="Arial" w:cs="Arial" w:eastAsia="Arial" w:hAnsi="Arial"/>
          <w:b/>
          <w:bCs/>
          <w:color w:val="561217"/>
          <w:sz w:val="26"/>
          <w:szCs w:val="26"/>
        </w:rPr>
        <w:t xml:space="preserve">Roles and Responsibilities</w:t>
      </w:r>
    </w:p>
    <w:p>
      <w:pPr>
        <w:pStyle w:val="ListParagraph"/>
        <w:numPr>
          <w:ilvl w:val="0"/>
          <w:numId w:val="2"/>
        </w:numPr>
        <w:spacing w:after="40" w:before="40" w:line="300"/>
      </w:pPr>
      <w:r>
        <w:rPr>
          <w:rFonts w:ascii="Arial" w:cs="Arial" w:eastAsia="Arial" w:hAnsi="Arial"/>
          <w:b/>
          <w:bCs/>
          <w:color w:val="1F1E1E"/>
          <w:sz w:val="22"/>
          <w:szCs w:val="22"/>
        </w:rPr>
        <w:t xml:space="preserve">Board of Directors.</w:t>
      </w:r>
      <w:r>
        <w:rPr>
          <w:rFonts w:ascii="Arial" w:cs="Arial" w:eastAsia="Arial" w:hAnsi="Arial"/>
          <w:color w:val="1F1E1E"/>
          <w:sz w:val="22"/>
          <w:szCs w:val="22"/>
        </w:rPr>
        <w:t xml:space="preserve"> Approves the IPS and any material changes.</w:t>
      </w:r>
    </w:p>
    <w:p>
      <w:pPr>
        <w:pStyle w:val="ListParagraph"/>
        <w:numPr>
          <w:ilvl w:val="0"/>
          <w:numId w:val="2"/>
        </w:numPr>
        <w:spacing w:after="40" w:before="40" w:line="300"/>
      </w:pPr>
      <w:r>
        <w:rPr>
          <w:rFonts w:ascii="Arial" w:cs="Arial" w:eastAsia="Arial" w:hAnsi="Arial"/>
          <w:b/>
          <w:bCs/>
          <w:color w:val="1F1E1E"/>
          <w:sz w:val="22"/>
          <w:szCs w:val="22"/>
        </w:rPr>
        <w:t xml:space="preserve">Finance Committee.</w:t>
      </w:r>
      <w:r>
        <w:rPr>
          <w:rFonts w:ascii="Arial" w:cs="Arial" w:eastAsia="Arial" w:hAnsi="Arial"/>
          <w:color w:val="1F1E1E"/>
          <w:sz w:val="22"/>
          <w:szCs w:val="22"/>
        </w:rPr>
        <w:t xml:space="preserve"> Oversees investment management, reviews performance quarterly, recommends IPS changes.</w:t>
      </w:r>
    </w:p>
    <w:p>
      <w:pPr>
        <w:pStyle w:val="ListParagraph"/>
        <w:numPr>
          <w:ilvl w:val="0"/>
          <w:numId w:val="2"/>
        </w:numPr>
        <w:spacing w:after="40" w:before="40" w:line="300"/>
      </w:pPr>
      <w:r>
        <w:rPr>
          <w:rFonts w:ascii="Arial" w:cs="Arial" w:eastAsia="Arial" w:hAnsi="Arial"/>
          <w:b/>
          <w:bCs/>
          <w:color w:val="1F1E1E"/>
          <w:sz w:val="22"/>
          <w:szCs w:val="22"/>
        </w:rPr>
        <w:t xml:space="preserve">Treasurer.</w:t>
      </w:r>
      <w:r>
        <w:rPr>
          <w:rFonts w:ascii="Arial" w:cs="Arial" w:eastAsia="Arial" w:hAnsi="Arial"/>
          <w:color w:val="1F1E1E"/>
          <w:sz w:val="22"/>
          <w:szCs w:val="22"/>
        </w:rPr>
        <w:t xml:space="preserve"> Executes investment decisions within IPS guidelines, reports to Finance Committee.</w:t>
      </w:r>
    </w:p>
    <w:p>
      <w:pPr>
        <w:pStyle w:val="ListParagraph"/>
        <w:numPr>
          <w:ilvl w:val="0"/>
          <w:numId w:val="2"/>
        </w:numPr>
        <w:spacing w:after="40" w:before="40" w:line="300"/>
      </w:pPr>
      <w:r>
        <w:rPr>
          <w:rFonts w:ascii="Arial" w:cs="Arial" w:eastAsia="Arial" w:hAnsi="Arial"/>
          <w:b/>
          <w:bCs/>
          <w:color w:val="1F1E1E"/>
          <w:sz w:val="22"/>
          <w:szCs w:val="22"/>
        </w:rPr>
        <w:t xml:space="preserve">External Investment Advisor (if retained).</w:t>
      </w:r>
      <w:r>
        <w:rPr>
          <w:rFonts w:ascii="Arial" w:cs="Arial" w:eastAsia="Arial" w:hAnsi="Arial"/>
          <w:color w:val="1F1E1E"/>
          <w:sz w:val="22"/>
          <w:szCs w:val="22"/>
        </w:rPr>
        <w:t xml:space="preserve"> Provides recommendations consistent with IPS, reports performance.</w:t>
      </w:r>
    </w:p>
    <w:p>
      <w:pPr>
        <w:keepNext/>
        <w:spacing w:after="120" w:before="240"/>
      </w:pPr>
      <w:r>
        <w:rPr>
          <w:rFonts w:ascii="Arial" w:cs="Arial" w:eastAsia="Arial" w:hAnsi="Arial"/>
          <w:b/>
          <w:bCs/>
          <w:color w:val="3B5937"/>
          <w:sz w:val="22"/>
          <w:szCs w:val="22"/>
        </w:rPr>
        <w:t xml:space="preserve">External Investment Advisor — Selection and Termination</w:t>
      </w:r>
    </w:p>
    <w:p>
      <w:pPr>
        <w:spacing w:after="120" w:before="60" w:line="320"/>
        <w:jc w:val="both"/>
      </w:pPr>
      <w:r>
        <w:rPr>
          <w:rFonts w:ascii="Arial" w:cs="Arial" w:eastAsia="Arial" w:hAnsi="Arial"/>
          <w:color w:val="1F1E1E"/>
          <w:sz w:val="22"/>
          <w:szCs w:val="22"/>
        </w:rPr>
        <w:t xml:space="preserve">Any investment advisor engaged by the Foundation shall:</w:t>
      </w:r>
    </w:p>
    <w:p>
      <w:pPr>
        <w:spacing w:after="120" w:before="60" w:line="320"/>
        <w:jc w:val="both"/>
      </w:pPr>
      <w:r>
        <w:rPr>
          <w:rFonts w:ascii="Arial" w:cs="Arial" w:eastAsia="Arial" w:hAnsi="Arial"/>
          <w:color w:val="1F1E1E"/>
          <w:sz w:val="22"/>
          <w:szCs w:val="22"/>
        </w:rPr>
        <w:t xml:space="preserve">(i) be registered as a fiduciary under the Investment Advisers Act of 1940 or, in the alternative, agree in writing to act in a fiduciary capacity;</w:t>
      </w:r>
    </w:p>
    <w:p>
      <w:pPr>
        <w:spacing w:after="120" w:before="60" w:line="320"/>
        <w:jc w:val="both"/>
      </w:pPr>
      <w:r>
        <w:rPr>
          <w:rFonts w:ascii="Arial" w:cs="Arial" w:eastAsia="Arial" w:hAnsi="Arial"/>
          <w:color w:val="1F1E1E"/>
          <w:sz w:val="22"/>
          <w:szCs w:val="22"/>
        </w:rPr>
        <w:t xml:space="preserve">(ii) disclose all fees, including indirect compensation, in writing prior to engagement;</w:t>
      </w:r>
    </w:p>
    <w:p>
      <w:pPr>
        <w:spacing w:after="120" w:before="60" w:line="320"/>
        <w:jc w:val="both"/>
      </w:pPr>
      <w:r>
        <w:rPr>
          <w:rFonts w:ascii="Arial" w:cs="Arial" w:eastAsia="Arial" w:hAnsi="Arial"/>
          <w:color w:val="1F1E1E"/>
          <w:sz w:val="22"/>
          <w:szCs w:val="22"/>
        </w:rPr>
        <w:t xml:space="preserve">(iii) hold no financial relationship with any Disqualified Person (as defined in Holon Foundation Policy No. 04, Ethics and Conflict of Interest Policy) that has not been disclosed and approved under the Conflicts of Interest Policy.</w:t>
      </w:r>
    </w:p>
    <w:p>
      <w:pPr>
        <w:spacing w:after="120" w:before="60" w:line="320"/>
        <w:jc w:val="both"/>
      </w:pPr>
      <w:r>
        <w:rPr>
          <w:rFonts w:ascii="Arial" w:cs="Arial" w:eastAsia="Arial" w:hAnsi="Arial"/>
          <w:color w:val="1F1E1E"/>
          <w:sz w:val="22"/>
          <w:szCs w:val="22"/>
        </w:rPr>
        <w:t xml:space="preserve">The Finance Committee may terminate the relationship for cause or upon ninety (90) days' notice. Performance shall be reviewed against agreed benchmarks at least annually.</w:t>
      </w:r>
    </w:p>
    <w:p>
      <w:pPr>
        <w:keepNext/>
        <w:spacing w:after="160" w:before="360"/>
      </w:pPr>
      <w:r>
        <w:rPr>
          <w:rFonts w:ascii="Arial" w:cs="Arial" w:eastAsia="Arial" w:hAnsi="Arial"/>
          <w:b/>
          <w:bCs/>
          <w:color w:val="561217"/>
          <w:sz w:val="26"/>
          <w:szCs w:val="26"/>
        </w:rPr>
        <w:t xml:space="preserve">Monitoring and Review</w:t>
      </w:r>
    </w:p>
    <w:p>
      <w:pPr>
        <w:spacing w:after="120" w:before="60" w:line="320"/>
        <w:jc w:val="both"/>
      </w:pPr>
      <w:r>
        <w:rPr>
          <w:rFonts w:ascii="Arial" w:cs="Arial" w:eastAsia="Arial" w:hAnsi="Arial"/>
          <w:color w:val="1F1E1E"/>
          <w:sz w:val="22"/>
          <w:szCs w:val="22"/>
        </w:rPr>
        <w:t xml:space="preserve">The Finance Committee shall review investment performance quarterly and the full IPS annually. Material changes to market conditions or the Foundation's financial situation may warrant interim review.</w:t>
      </w:r>
    </w:p>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11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11  ·  INVESTMENT POLICY STATEMENT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Policy Statement (IPS)</dc:title>
  <dc:creator>Holon Foundation</dc:creator>
  <dc:description>Holon Foundation — Policy No. 11</dc:description>
  <cp:lastModifiedBy>Un-named</cp:lastModifiedBy>
  <cp:revision>1</cp:revision>
  <dcterms:created xsi:type="dcterms:W3CDTF">2026-05-21T02:41:41.645Z</dcterms:created>
  <dcterms:modified xsi:type="dcterms:W3CDTF">2026-05-21T02:41:41.645Z</dcterms:modified>
</cp:coreProperties>
</file>

<file path=docProps/custom.xml><?xml version="1.0" encoding="utf-8"?>
<Properties xmlns="http://schemas.openxmlformats.org/officeDocument/2006/custom-properties" xmlns:vt="http://schemas.openxmlformats.org/officeDocument/2006/docPropsVTypes"/>
</file>