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10</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Code of Conduct</w:t>
      </w:r>
    </w:p>
    <w:p>
      <w:pPr>
        <w:spacing w:after="0" w:before="0"/>
        <w:jc w:val="center"/>
      </w:pPr>
      <w:r>
        <w:rPr>
          <w:rFonts w:ascii="Arial" w:cs="Arial" w:eastAsia="Arial" w:hAnsi="Arial"/>
          <w:i/>
          <w:iCs/>
          <w:color w:val="4A4A4A"/>
          <w:sz w:val="20"/>
          <w:szCs w:val="20"/>
        </w:rPr>
        <w:t xml:space="preserve">Holon Foundation — Policy No. 10</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Updated the protected-class list to align with Title VII / Bostock v. Clayton County, the Pregnant Workers Fairness Act, GINA, USERRA, and Texas Labor Code § 21.051, closing exposure under federal and Texas anti-discrimination law.</w:t>
      </w:r>
    </w:p>
    <w:p>
      <w:pPr>
        <w:pStyle w:val="ListParagraph"/>
        <w:numPr>
          <w:ilvl w:val="0"/>
          <w:numId w:val="2"/>
        </w:numPr>
        <w:spacing w:after="40" w:before="40" w:line="300"/>
      </w:pPr>
      <w:r>
        <w:rPr>
          <w:rFonts w:ascii="Arial" w:cs="Arial" w:eastAsia="Arial" w:hAnsi="Arial"/>
          <w:color w:val="1F1E1E"/>
          <w:sz w:val="22"/>
          <w:szCs w:val="22"/>
        </w:rPr>
        <w:t xml:space="preserve">Added a dedicated Sexual Harassment Prohibition subsection with reporting path and non-retaliation, compliant with Texas Labor Code § 21.142 as amended (now applicable to employers with one or more employees).</w:t>
      </w:r>
    </w:p>
    <w:p>
      <w:pPr>
        <w:pStyle w:val="ListParagraph"/>
        <w:numPr>
          <w:ilvl w:val="0"/>
          <w:numId w:val="2"/>
        </w:numPr>
        <w:spacing w:after="40" w:before="40" w:line="300"/>
      </w:pPr>
      <w:r>
        <w:rPr>
          <w:rFonts w:ascii="Arial" w:cs="Arial" w:eastAsia="Arial" w:hAnsi="Arial"/>
          <w:color w:val="1F1E1E"/>
          <w:sz w:val="22"/>
          <w:szCs w:val="22"/>
        </w:rPr>
        <w:t xml:space="preserve">Expanded the Social Media bullet with explicit IRC § 501(c)(3) campaign-intervention prohibition and minor-image consent rules, with cross-references to Policies No. 14 and No. 17.</w:t>
      </w:r>
    </w:p>
    <w:p>
      <w:pPr>
        <w:pStyle w:val="ListParagraph"/>
        <w:numPr>
          <w:ilvl w:val="0"/>
          <w:numId w:val="2"/>
        </w:numPr>
        <w:spacing w:after="40" w:before="40" w:line="300"/>
      </w:pPr>
      <w:r>
        <w:rPr>
          <w:rFonts w:ascii="Arial" w:cs="Arial" w:eastAsia="Arial" w:hAnsi="Arial"/>
          <w:color w:val="1F1E1E"/>
          <w:sz w:val="22"/>
          <w:szCs w:val="22"/>
        </w:rPr>
        <w:t xml:space="preserve">Added Investigation and Consequences section with graduated, role-stratified remedies and due-process for employees, volunteers/contractors, and directors.</w:t>
      </w:r>
    </w:p>
    <w:p>
      <w:pPr>
        <w:pStyle w:val="ListParagraph"/>
        <w:numPr>
          <w:ilvl w:val="0"/>
          <w:numId w:val="2"/>
        </w:numPr>
        <w:spacing w:after="40" w:before="40" w:line="300"/>
      </w:pPr>
      <w:r>
        <w:rPr>
          <w:rFonts w:ascii="Arial" w:cs="Arial" w:eastAsia="Arial" w:hAnsi="Arial"/>
          <w:color w:val="1F1E1E"/>
          <w:sz w:val="22"/>
          <w:szCs w:val="22"/>
        </w:rPr>
        <w:t xml:space="preserve">Cross-referenced the IRC § 501(c)(3) operational test and Policy No. 19 in the Environmental Responsibility section to preserve the distinction between personal advocacy and Foundation positions.</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Code of Conduct establishes the standards of behavior expected of all directors, officers, employees, volunteers, and representatives of Holon Foundation. It reflects our commitment to integrity, respect, and accountability in all aspects of our conservation mission.</w:t>
      </w:r>
    </w:p>
    <w:p>
      <w:pPr>
        <w:keepNext/>
        <w:spacing w:after="160" w:before="360"/>
      </w:pPr>
      <w:r>
        <w:rPr>
          <w:rFonts w:ascii="Arial" w:cs="Arial" w:eastAsia="Arial" w:hAnsi="Arial"/>
          <w:b/>
          <w:bCs/>
          <w:color w:val="561217"/>
          <w:sz w:val="26"/>
          <w:szCs w:val="26"/>
        </w:rPr>
        <w:t xml:space="preserve">Core Values</w:t>
      </w:r>
    </w:p>
    <w:p>
      <w:pPr>
        <w:pStyle w:val="ListParagraph"/>
        <w:numPr>
          <w:ilvl w:val="0"/>
          <w:numId w:val="2"/>
        </w:numPr>
        <w:spacing w:after="40" w:before="40" w:line="300"/>
      </w:pPr>
      <w:r>
        <w:rPr>
          <w:rFonts w:ascii="Arial" w:cs="Arial" w:eastAsia="Arial" w:hAnsi="Arial"/>
          <w:b/>
          <w:bCs/>
          <w:color w:val="1F1E1E"/>
          <w:sz w:val="22"/>
          <w:szCs w:val="22"/>
        </w:rPr>
        <w:t xml:space="preserve">Integrity.</w:t>
      </w:r>
      <w:r>
        <w:rPr>
          <w:rFonts w:ascii="Arial" w:cs="Arial" w:eastAsia="Arial" w:hAnsi="Arial"/>
          <w:color w:val="1F1E1E"/>
          <w:sz w:val="22"/>
          <w:szCs w:val="22"/>
        </w:rPr>
        <w:t xml:space="preserve"> We act honestly and transparently in all dealings, honoring commitments and maintaining trust.</w:t>
      </w:r>
    </w:p>
    <w:p>
      <w:pPr>
        <w:pStyle w:val="ListParagraph"/>
        <w:numPr>
          <w:ilvl w:val="0"/>
          <w:numId w:val="2"/>
        </w:numPr>
        <w:spacing w:after="40" w:before="40" w:line="300"/>
      </w:pPr>
      <w:r>
        <w:rPr>
          <w:rFonts w:ascii="Arial" w:cs="Arial" w:eastAsia="Arial" w:hAnsi="Arial"/>
          <w:b/>
          <w:bCs/>
          <w:color w:val="1F1E1E"/>
          <w:sz w:val="22"/>
          <w:szCs w:val="22"/>
        </w:rPr>
        <w:t xml:space="preserve">Stewardship.</w:t>
      </w:r>
      <w:r>
        <w:rPr>
          <w:rFonts w:ascii="Arial" w:cs="Arial" w:eastAsia="Arial" w:hAnsi="Arial"/>
          <w:color w:val="1F1E1E"/>
          <w:sz w:val="22"/>
          <w:szCs w:val="22"/>
        </w:rPr>
        <w:t xml:space="preserve"> We are responsible custodians of the resources, relationships, and ecosystems entrusted to our care.</w:t>
      </w:r>
    </w:p>
    <w:p>
      <w:pPr>
        <w:pStyle w:val="ListParagraph"/>
        <w:numPr>
          <w:ilvl w:val="0"/>
          <w:numId w:val="2"/>
        </w:numPr>
        <w:spacing w:after="40" w:before="40" w:line="300"/>
      </w:pPr>
      <w:r>
        <w:rPr>
          <w:rFonts w:ascii="Arial" w:cs="Arial" w:eastAsia="Arial" w:hAnsi="Arial"/>
          <w:b/>
          <w:bCs/>
          <w:color w:val="1F1E1E"/>
          <w:sz w:val="22"/>
          <w:szCs w:val="22"/>
        </w:rPr>
        <w:t xml:space="preserve">Respect.</w:t>
      </w:r>
      <w:r>
        <w:rPr>
          <w:rFonts w:ascii="Arial" w:cs="Arial" w:eastAsia="Arial" w:hAnsi="Arial"/>
          <w:color w:val="1F1E1E"/>
          <w:sz w:val="22"/>
          <w:szCs w:val="22"/>
        </w:rPr>
        <w:t xml:space="preserve"> We treat all individuals with dignity, valuing diverse perspectives and fostering inclusive environments.</w:t>
      </w:r>
    </w:p>
    <w:p>
      <w:pPr>
        <w:pStyle w:val="ListParagraph"/>
        <w:numPr>
          <w:ilvl w:val="0"/>
          <w:numId w:val="2"/>
        </w:numPr>
        <w:spacing w:after="40" w:before="40" w:line="300"/>
      </w:pPr>
      <w:r>
        <w:rPr>
          <w:rFonts w:ascii="Arial" w:cs="Arial" w:eastAsia="Arial" w:hAnsi="Arial"/>
          <w:b/>
          <w:bCs/>
          <w:color w:val="1F1E1E"/>
          <w:sz w:val="22"/>
          <w:szCs w:val="22"/>
        </w:rPr>
        <w:t xml:space="preserve">Accountability.</w:t>
      </w:r>
      <w:r>
        <w:rPr>
          <w:rFonts w:ascii="Arial" w:cs="Arial" w:eastAsia="Arial" w:hAnsi="Arial"/>
          <w:color w:val="1F1E1E"/>
          <w:sz w:val="22"/>
          <w:szCs w:val="22"/>
        </w:rPr>
        <w:t xml:space="preserve"> We take responsibility for our actions and decisions, welcoming constructive feedback.</w:t>
      </w:r>
    </w:p>
    <w:p>
      <w:pPr>
        <w:pStyle w:val="ListParagraph"/>
        <w:numPr>
          <w:ilvl w:val="0"/>
          <w:numId w:val="2"/>
        </w:numPr>
        <w:spacing w:after="40" w:before="40" w:line="300"/>
      </w:pPr>
      <w:r>
        <w:rPr>
          <w:rFonts w:ascii="Arial" w:cs="Arial" w:eastAsia="Arial" w:hAnsi="Arial"/>
          <w:b/>
          <w:bCs/>
          <w:color w:val="1F1E1E"/>
          <w:sz w:val="22"/>
          <w:szCs w:val="22"/>
        </w:rPr>
        <w:t xml:space="preserve">Excellence.</w:t>
      </w:r>
      <w:r>
        <w:rPr>
          <w:rFonts w:ascii="Arial" w:cs="Arial" w:eastAsia="Arial" w:hAnsi="Arial"/>
          <w:color w:val="1F1E1E"/>
          <w:sz w:val="22"/>
          <w:szCs w:val="22"/>
        </w:rPr>
        <w:t xml:space="preserve"> We pursue the highest standards in governance, programs, and community engagement.</w:t>
      </w:r>
    </w:p>
    <w:p>
      <w:pPr>
        <w:keepNext/>
        <w:spacing w:after="160" w:before="360"/>
      </w:pPr>
      <w:r>
        <w:rPr>
          <w:rFonts w:ascii="Arial" w:cs="Arial" w:eastAsia="Arial" w:hAnsi="Arial"/>
          <w:b/>
          <w:bCs/>
          <w:color w:val="561217"/>
          <w:sz w:val="26"/>
          <w:szCs w:val="26"/>
        </w:rPr>
        <w:t xml:space="preserve">Standards of Behavior</w:t>
      </w:r>
    </w:p>
    <w:p>
      <w:pPr>
        <w:keepNext/>
        <w:spacing w:after="120" w:before="240"/>
      </w:pPr>
      <w:r>
        <w:rPr>
          <w:rFonts w:ascii="Arial" w:cs="Arial" w:eastAsia="Arial" w:hAnsi="Arial"/>
          <w:b/>
          <w:bCs/>
          <w:color w:val="3B5937"/>
          <w:sz w:val="22"/>
          <w:szCs w:val="22"/>
        </w:rPr>
        <w:t xml:space="preserve">Professional Conduct</w:t>
      </w:r>
    </w:p>
    <w:p>
      <w:pPr>
        <w:pStyle w:val="ListParagraph"/>
        <w:numPr>
          <w:ilvl w:val="0"/>
          <w:numId w:val="2"/>
        </w:numPr>
        <w:spacing w:after="40" w:before="40" w:line="300"/>
      </w:pPr>
      <w:r>
        <w:rPr>
          <w:rFonts w:ascii="Arial" w:cs="Arial" w:eastAsia="Arial" w:hAnsi="Arial"/>
          <w:color w:val="1F1E1E"/>
          <w:sz w:val="22"/>
          <w:szCs w:val="22"/>
        </w:rPr>
        <w:t xml:space="preserve">Act in accordance with applicable laws, regulations, and organizational policies at all times.</w:t>
      </w:r>
    </w:p>
    <w:p>
      <w:pPr>
        <w:pStyle w:val="ListParagraph"/>
        <w:numPr>
          <w:ilvl w:val="0"/>
          <w:numId w:val="2"/>
        </w:numPr>
        <w:spacing w:after="40" w:before="40" w:line="300"/>
      </w:pPr>
      <w:r>
        <w:rPr>
          <w:rFonts w:ascii="Arial" w:cs="Arial" w:eastAsia="Arial" w:hAnsi="Arial"/>
          <w:color w:val="1F1E1E"/>
          <w:sz w:val="22"/>
          <w:szCs w:val="22"/>
        </w:rPr>
        <w:t xml:space="preserve">Perform duties with competence, diligence, and good judgment.</w:t>
      </w:r>
    </w:p>
    <w:p>
      <w:pPr>
        <w:pStyle w:val="ListParagraph"/>
        <w:numPr>
          <w:ilvl w:val="0"/>
          <w:numId w:val="2"/>
        </w:numPr>
        <w:spacing w:after="40" w:before="40" w:line="300"/>
      </w:pPr>
      <w:r>
        <w:rPr>
          <w:rFonts w:ascii="Arial" w:cs="Arial" w:eastAsia="Arial" w:hAnsi="Arial"/>
          <w:color w:val="1F1E1E"/>
          <w:sz w:val="22"/>
          <w:szCs w:val="22"/>
        </w:rPr>
        <w:t xml:space="preserve">Avoid actions that could harm Holon Foundation's reputation or credibility.</w:t>
      </w:r>
    </w:p>
    <w:p>
      <w:pPr>
        <w:pStyle w:val="ListParagraph"/>
        <w:numPr>
          <w:ilvl w:val="0"/>
          <w:numId w:val="2"/>
        </w:numPr>
        <w:spacing w:after="40" w:before="40" w:line="300"/>
      </w:pPr>
      <w:r>
        <w:rPr>
          <w:rFonts w:ascii="Arial" w:cs="Arial" w:eastAsia="Arial" w:hAnsi="Arial"/>
          <w:color w:val="1F1E1E"/>
          <w:sz w:val="22"/>
          <w:szCs w:val="22"/>
        </w:rPr>
        <w:t xml:space="preserve">Use organizational resources responsibly and exclusively for authorized purposes.</w:t>
      </w:r>
    </w:p>
    <w:p>
      <w:pPr>
        <w:keepNext/>
        <w:spacing w:after="120" w:before="240"/>
      </w:pPr>
      <w:r>
        <w:rPr>
          <w:rFonts w:ascii="Arial" w:cs="Arial" w:eastAsia="Arial" w:hAnsi="Arial"/>
          <w:b/>
          <w:bCs/>
          <w:color w:val="3B5937"/>
          <w:sz w:val="22"/>
          <w:szCs w:val="22"/>
        </w:rPr>
        <w:t xml:space="preserve">Interpersonal Conduct</w:t>
      </w:r>
    </w:p>
    <w:p>
      <w:pPr>
        <w:pStyle w:val="ListParagraph"/>
        <w:numPr>
          <w:ilvl w:val="0"/>
          <w:numId w:val="2"/>
        </w:numPr>
        <w:spacing w:after="40" w:before="40" w:line="300"/>
      </w:pPr>
      <w:r>
        <w:rPr>
          <w:rFonts w:ascii="Arial" w:cs="Arial" w:eastAsia="Arial" w:hAnsi="Arial"/>
          <w:color w:val="1F1E1E"/>
          <w:sz w:val="22"/>
          <w:szCs w:val="22"/>
        </w:rPr>
        <w:t xml:space="preserve">Treat colleagues, community members, and stakeholders with courtesy and respect.</w:t>
      </w:r>
    </w:p>
    <w:p>
      <w:pPr>
        <w:pStyle w:val="ListParagraph"/>
        <w:numPr>
          <w:ilvl w:val="0"/>
          <w:numId w:val="2"/>
        </w:numPr>
        <w:spacing w:after="40" w:before="40" w:line="300"/>
      </w:pPr>
      <w:r>
        <w:rPr>
          <w:rFonts w:ascii="Arial" w:cs="Arial" w:eastAsia="Arial" w:hAnsi="Arial"/>
          <w:b/>
          <w:bCs/>
          <w:color w:val="1F1E1E"/>
          <w:sz w:val="22"/>
          <w:szCs w:val="22"/>
        </w:rPr>
        <w:t xml:space="preserve">Non-Discrimination.</w:t>
      </w:r>
      <w:r>
        <w:rPr>
          <w:rFonts w:ascii="Arial" w:cs="Arial" w:eastAsia="Arial" w:hAnsi="Arial"/>
          <w:color w:val="1F1E1E"/>
          <w:sz w:val="22"/>
          <w:szCs w:val="22"/>
        </w:rPr>
        <w:t xml:space="preserve"> The Foundation prohibits discrimination and harassment on the basis of race, color, religion, sex (including pregnancy, childbirth, and related medical conditions, sexual orientation, gender identity, and gender expression, per Bostock v. Clayton County, 590 U.S. 644 (2020)), national origin, age (40 and over), disability, genetic information, military or veteran status, citizenship or immigration status, marital status, or any other characteristic protected by applicable federal, Texas state, or Houston municipal law. This applies in all aspects of the Foundation's operations, including recruitment, hiring, training, promotion, compensation, discipline, termination, volunteer engagement, partnerships, and program delivery.</w:t>
      </w:r>
    </w:p>
    <w:p>
      <w:pPr>
        <w:pStyle w:val="ListParagraph"/>
        <w:numPr>
          <w:ilvl w:val="0"/>
          <w:numId w:val="2"/>
        </w:numPr>
        <w:spacing w:after="40" w:before="40" w:line="300"/>
      </w:pPr>
      <w:r>
        <w:rPr>
          <w:rFonts w:ascii="Arial" w:cs="Arial" w:eastAsia="Arial" w:hAnsi="Arial"/>
          <w:b/>
          <w:bCs/>
          <w:color w:val="1F1E1E"/>
          <w:sz w:val="22"/>
          <w:szCs w:val="22"/>
        </w:rPr>
        <w:t xml:space="preserve">Sexual Harassment Prohibition.</w:t>
      </w:r>
      <w:r>
        <w:rPr>
          <w:rFonts w:ascii="Arial" w:cs="Arial" w:eastAsia="Arial" w:hAnsi="Arial"/>
          <w:color w:val="1F1E1E"/>
          <w:sz w:val="22"/>
          <w:szCs w:val="22"/>
        </w:rPr>
        <w:t xml:space="preserve"> The Foundation prohibits sexual harassment in any form, including (without limitation):</w:t>
      </w:r>
    </w:p>
    <w:p>
      <w:pPr>
        <w:spacing w:after="120" w:before="60" w:line="320"/>
        <w:jc w:val="both"/>
      </w:pPr>
      <w:r>
        <w:rPr>
          <w:rFonts w:ascii="Arial" w:cs="Arial" w:eastAsia="Arial" w:hAnsi="Arial"/>
          <w:color w:val="1F1E1E"/>
          <w:sz w:val="22"/>
          <w:szCs w:val="22"/>
        </w:rPr>
        <w:t xml:space="preserve">  (a) unwelcome sexual advances, requests for sexual favors, or other verbal or physical conduct of a sexual nature where submission is made (explicitly or implicitly) a term or condition of engagement or where such conduct unreasonably interferes with an individual's work or volunteer performance or creates an intimidating, hostile, or offensive environment;</w:t>
      </w:r>
    </w:p>
    <w:p>
      <w:pPr>
        <w:spacing w:after="120" w:before="60" w:line="320"/>
        <w:jc w:val="both"/>
      </w:pPr>
      <w:r>
        <w:rPr>
          <w:rFonts w:ascii="Arial" w:cs="Arial" w:eastAsia="Arial" w:hAnsi="Arial"/>
          <w:color w:val="1F1E1E"/>
          <w:sz w:val="22"/>
          <w:szCs w:val="22"/>
        </w:rPr>
        <w:t xml:space="preserve">  (b) sexual jokes, comments, images, or messages, including those sent electronically;</w:t>
      </w:r>
    </w:p>
    <w:p>
      <w:pPr>
        <w:spacing w:after="120" w:before="60" w:line="320"/>
        <w:jc w:val="both"/>
      </w:pPr>
      <w:r>
        <w:rPr>
          <w:rFonts w:ascii="Arial" w:cs="Arial" w:eastAsia="Arial" w:hAnsi="Arial"/>
          <w:color w:val="1F1E1E"/>
          <w:sz w:val="22"/>
          <w:szCs w:val="22"/>
        </w:rPr>
        <w:t xml:space="preserve">  (c) unwanted touching, blocking of movement, or display of sexually explicit materials.</w:t>
      </w:r>
    </w:p>
    <w:p>
      <w:pPr>
        <w:spacing w:after="120" w:before="60" w:line="320"/>
        <w:jc w:val="both"/>
      </w:pPr>
      <w:r>
        <w:rPr>
          <w:rFonts w:ascii="Arial" w:cs="Arial" w:eastAsia="Arial" w:hAnsi="Arial"/>
          <w:color w:val="1F1E1E"/>
          <w:sz w:val="22"/>
          <w:szCs w:val="22"/>
        </w:rPr>
        <w:t xml:space="preserve">  Any person who experiences or witnesses sexual harassment shall report it promptly to the Executive Director, the Board Chair, or through Holon Foundation Policy No. 05 (Whistleblower Protection Policy). Retaliation against any person for reporting in good faith or participating in an investigation is strictly prohibited. The Foundation's reporting procedure complies with Texas Labor Code § 21.142 as amended and EEOC Enforcement Guidance on Harassment (2024).</w:t>
      </w:r>
    </w:p>
    <w:p>
      <w:pPr>
        <w:pStyle w:val="ListParagraph"/>
        <w:numPr>
          <w:ilvl w:val="0"/>
          <w:numId w:val="2"/>
        </w:numPr>
        <w:spacing w:after="40" w:before="40" w:line="300"/>
      </w:pPr>
      <w:r>
        <w:rPr>
          <w:rFonts w:ascii="Arial" w:cs="Arial" w:eastAsia="Arial" w:hAnsi="Arial"/>
          <w:color w:val="1F1E1E"/>
          <w:sz w:val="22"/>
          <w:szCs w:val="22"/>
        </w:rPr>
        <w:t xml:space="preserve">Resolve disagreements constructively and professionally.</w:t>
      </w:r>
    </w:p>
    <w:p>
      <w:pPr>
        <w:pStyle w:val="ListParagraph"/>
        <w:numPr>
          <w:ilvl w:val="0"/>
          <w:numId w:val="2"/>
        </w:numPr>
        <w:spacing w:after="40" w:before="40" w:line="300"/>
      </w:pPr>
      <w:r>
        <w:rPr>
          <w:rFonts w:ascii="Arial" w:cs="Arial" w:eastAsia="Arial" w:hAnsi="Arial"/>
          <w:color w:val="1F1E1E"/>
          <w:sz w:val="22"/>
          <w:szCs w:val="22"/>
        </w:rPr>
        <w:t xml:space="preserve">Support an inclusive culture that welcomes diverse viewpoints.</w:t>
      </w:r>
    </w:p>
    <w:p>
      <w:pPr>
        <w:keepNext/>
        <w:spacing w:after="120" w:before="240"/>
      </w:pPr>
      <w:r>
        <w:rPr>
          <w:rFonts w:ascii="Arial" w:cs="Arial" w:eastAsia="Arial" w:hAnsi="Arial"/>
          <w:b/>
          <w:bCs/>
          <w:color w:val="3B5937"/>
          <w:sz w:val="22"/>
          <w:szCs w:val="22"/>
        </w:rPr>
        <w:t xml:space="preserve">Communication</w:t>
      </w:r>
    </w:p>
    <w:p>
      <w:pPr>
        <w:pStyle w:val="ListParagraph"/>
        <w:numPr>
          <w:ilvl w:val="0"/>
          <w:numId w:val="2"/>
        </w:numPr>
        <w:spacing w:after="40" w:before="40" w:line="300"/>
      </w:pPr>
      <w:r>
        <w:rPr>
          <w:rFonts w:ascii="Arial" w:cs="Arial" w:eastAsia="Arial" w:hAnsi="Arial"/>
          <w:color w:val="1F1E1E"/>
          <w:sz w:val="22"/>
          <w:szCs w:val="22"/>
        </w:rPr>
        <w:t xml:space="preserve">Represent Holon Foundation accurately and positively in public forums.</w:t>
      </w:r>
    </w:p>
    <w:p>
      <w:pPr>
        <w:pStyle w:val="ListParagraph"/>
        <w:numPr>
          <w:ilvl w:val="0"/>
          <w:numId w:val="2"/>
        </w:numPr>
        <w:spacing w:after="40" w:before="40" w:line="300"/>
      </w:pPr>
      <w:r>
        <w:rPr>
          <w:rFonts w:ascii="Arial" w:cs="Arial" w:eastAsia="Arial" w:hAnsi="Arial"/>
          <w:color w:val="1F1E1E"/>
          <w:sz w:val="22"/>
          <w:szCs w:val="22"/>
        </w:rPr>
        <w:t xml:space="preserve">Do not speak on behalf of the organization unless authorized.</w:t>
      </w:r>
    </w:p>
    <w:p>
      <w:pPr>
        <w:pStyle w:val="ListParagraph"/>
        <w:numPr>
          <w:ilvl w:val="0"/>
          <w:numId w:val="2"/>
        </w:numPr>
        <w:spacing w:after="40" w:before="40" w:line="300"/>
      </w:pPr>
      <w:r>
        <w:rPr>
          <w:rFonts w:ascii="Arial" w:cs="Arial" w:eastAsia="Arial" w:hAnsi="Arial"/>
          <w:color w:val="1F1E1E"/>
          <w:sz w:val="22"/>
          <w:szCs w:val="22"/>
        </w:rPr>
        <w:t xml:space="preserve">Maintain confidentiality of non-public information, consistent with Holon Foundation Policy No. 09 (Confidentiality Agreement).</w:t>
      </w:r>
    </w:p>
    <w:p>
      <w:pPr>
        <w:pStyle w:val="ListParagraph"/>
        <w:numPr>
          <w:ilvl w:val="0"/>
          <w:numId w:val="2"/>
        </w:numPr>
        <w:spacing w:after="40" w:before="40" w:line="300"/>
      </w:pPr>
      <w:r>
        <w:rPr>
          <w:rFonts w:ascii="Arial" w:cs="Arial" w:eastAsia="Arial" w:hAnsi="Arial"/>
          <w:b/>
          <w:bCs/>
          <w:color w:val="1F1E1E"/>
          <w:sz w:val="22"/>
          <w:szCs w:val="22"/>
        </w:rPr>
        <w:t xml:space="preserve">Use social media in a manner consistent with this Code and Holon Foundation Policy No. 14 (Social Media and Communications Policy).</w:t>
      </w:r>
      <w:r>
        <w:rPr>
          <w:rFonts w:ascii="Arial" w:cs="Arial" w:eastAsia="Arial" w:hAnsi="Arial"/>
          <w:color w:val="1F1E1E"/>
          <w:sz w:val="22"/>
          <w:szCs w:val="22"/>
        </w:rPr>
        <w:t xml:space="preserve"> Do not: (a) speak on behalf of the Foundation unless authorized in writing by the Executive Director; (b) endorse, oppose, or appear to endorse or oppose any candidate for public office on Foundation accounts or in a manner that would attribute the position to the Foundation, consistent with the prohibition on campaign intervention under IRC § 501(c)(3); (c) post donor names, beneficiary identifying information, photos requiring consent under Policy No. 31 or the Texas SCOPE Act, or non-public organizational information; (d) impersonate the Foundation or any Foundation representative; or (e) use the Foundation's logo, trademarks, or copyrighted materials without prior written authorization.</w:t>
      </w:r>
    </w:p>
    <w:p>
      <w:pPr>
        <w:keepNext/>
        <w:spacing w:after="120" w:before="240"/>
      </w:pPr>
      <w:r>
        <w:rPr>
          <w:rFonts w:ascii="Arial" w:cs="Arial" w:eastAsia="Arial" w:hAnsi="Arial"/>
          <w:b/>
          <w:bCs/>
          <w:color w:val="3B5937"/>
          <w:sz w:val="22"/>
          <w:szCs w:val="22"/>
        </w:rPr>
        <w:t xml:space="preserve">Environmental Responsibility</w:t>
      </w:r>
    </w:p>
    <w:p>
      <w:pPr>
        <w:pStyle w:val="ListParagraph"/>
        <w:numPr>
          <w:ilvl w:val="0"/>
          <w:numId w:val="2"/>
        </w:numPr>
        <w:spacing w:after="40" w:before="40" w:line="300"/>
      </w:pPr>
      <w:r>
        <w:rPr>
          <w:rFonts w:ascii="Arial" w:cs="Arial" w:eastAsia="Arial" w:hAnsi="Arial"/>
          <w:color w:val="1F1E1E"/>
          <w:sz w:val="22"/>
          <w:szCs w:val="22"/>
        </w:rPr>
        <w:t xml:space="preserve">Model conservation values in personal and professional conduct.</w:t>
      </w:r>
    </w:p>
    <w:p>
      <w:pPr>
        <w:pStyle w:val="ListParagraph"/>
        <w:numPr>
          <w:ilvl w:val="0"/>
          <w:numId w:val="2"/>
        </w:numPr>
        <w:spacing w:after="40" w:before="40" w:line="300"/>
      </w:pPr>
      <w:r>
        <w:rPr>
          <w:rFonts w:ascii="Arial" w:cs="Arial" w:eastAsia="Arial" w:hAnsi="Arial"/>
          <w:color w:val="1F1E1E"/>
          <w:sz w:val="22"/>
          <w:szCs w:val="22"/>
        </w:rPr>
        <w:t xml:space="preserve">Minimize environmental impact in organizational operations.</w:t>
      </w:r>
    </w:p>
    <w:p>
      <w:pPr>
        <w:pStyle w:val="ListParagraph"/>
        <w:numPr>
          <w:ilvl w:val="0"/>
          <w:numId w:val="2"/>
        </w:numPr>
        <w:spacing w:after="40" w:before="40" w:line="300"/>
      </w:pPr>
      <w:r>
        <w:rPr>
          <w:rFonts w:ascii="Arial" w:cs="Arial" w:eastAsia="Arial" w:hAnsi="Arial"/>
          <w:color w:val="1F1E1E"/>
          <w:sz w:val="22"/>
          <w:szCs w:val="22"/>
        </w:rPr>
        <w:t xml:space="preserve">Support and promote sustainable practices within the community.</w:t>
      </w:r>
    </w:p>
    <w:p>
      <w:pPr>
        <w:pStyle w:val="ListParagraph"/>
        <w:numPr>
          <w:ilvl w:val="0"/>
          <w:numId w:val="2"/>
        </w:numPr>
        <w:spacing w:after="40" w:before="40" w:line="300"/>
      </w:pPr>
      <w:r>
        <w:rPr>
          <w:rFonts w:ascii="Arial" w:cs="Arial" w:eastAsia="Arial" w:hAnsi="Arial"/>
          <w:color w:val="1F1E1E"/>
          <w:sz w:val="22"/>
          <w:szCs w:val="22"/>
        </w:rPr>
        <w:t xml:space="preserve">When engaging in personal environmental advocacy, distinguish clearly between personal views and Foundation positions, consistent with the Foundation's lobbying and campaign-intervention limits under IRC § 501(c)(3), § 501(h), and Holon Foundation Policy No. 19 (Lobbying and Advocacy Compliance Policy).</w:t>
      </w:r>
    </w:p>
    <w:p>
      <w:pPr>
        <w:keepNext/>
        <w:spacing w:after="160" w:before="360"/>
      </w:pPr>
      <w:r>
        <w:rPr>
          <w:rFonts w:ascii="Arial" w:cs="Arial" w:eastAsia="Arial" w:hAnsi="Arial"/>
          <w:b/>
          <w:bCs/>
          <w:color w:val="561217"/>
          <w:sz w:val="26"/>
          <w:szCs w:val="26"/>
        </w:rPr>
        <w:t xml:space="preserve">Reporting Violations</w:t>
      </w:r>
    </w:p>
    <w:p>
      <w:pPr>
        <w:spacing w:after="120" w:before="60" w:line="320"/>
        <w:jc w:val="both"/>
      </w:pPr>
      <w:r>
        <w:rPr>
          <w:rFonts w:ascii="Arial" w:cs="Arial" w:eastAsia="Arial" w:hAnsi="Arial"/>
          <w:color w:val="1F1E1E"/>
          <w:sz w:val="22"/>
          <w:szCs w:val="22"/>
        </w:rPr>
        <w:t xml:space="preserve">Any person who witnesses or becomes aware of a violation of this Code should report it through the channels established in Holon Foundation Policy No. 05 (Whistleblower Protection Policy). Reports may be made confidentially or anonymously. Retaliation against good-faith reporters is strictly prohibited.</w:t>
      </w:r>
    </w:p>
    <w:p>
      <w:pPr>
        <w:keepNext/>
        <w:spacing w:after="160" w:before="360"/>
      </w:pPr>
      <w:r>
        <w:rPr>
          <w:rFonts w:ascii="Arial" w:cs="Arial" w:eastAsia="Arial" w:hAnsi="Arial"/>
          <w:b/>
          <w:bCs/>
          <w:color w:val="561217"/>
          <w:sz w:val="26"/>
          <w:szCs w:val="26"/>
        </w:rPr>
        <w:t xml:space="preserve">Investigation and Consequences</w:t>
      </w:r>
    </w:p>
    <w:p>
      <w:pPr>
        <w:spacing w:after="120" w:before="60" w:line="320"/>
        <w:jc w:val="both"/>
      </w:pPr>
      <w:r>
        <w:rPr>
          <w:rFonts w:ascii="Arial" w:cs="Arial" w:eastAsia="Arial" w:hAnsi="Arial"/>
          <w:color w:val="1F1E1E"/>
          <w:sz w:val="22"/>
          <w:szCs w:val="22"/>
        </w:rPr>
        <w:t xml:space="preserve">Reports of suspected violations of this Code shall be acknowledged within five (5) business days and investigated promptly under Policy No. 05, with substantive completion targeted within ninety (90) days. Upon a finding of violation, the Foundation may impose one or more of the following remedies, calibrated to the gravity of the violation and the role of the person involved:</w:t>
      </w:r>
    </w:p>
    <w:p>
      <w:pPr>
        <w:spacing w:after="120" w:before="60" w:line="320"/>
        <w:jc w:val="both"/>
      </w:pPr>
      <w:r>
        <w:rPr>
          <w:rFonts w:ascii="Arial" w:cs="Arial" w:eastAsia="Arial" w:hAnsi="Arial"/>
          <w:color w:val="1F1E1E"/>
          <w:sz w:val="22"/>
          <w:szCs w:val="22"/>
        </w:rPr>
        <w:t xml:space="preserve">(a) </w:t>
      </w:r>
      <w:r>
        <w:rPr>
          <w:rFonts w:ascii="Arial" w:cs="Arial" w:eastAsia="Arial" w:hAnsi="Arial"/>
          <w:b/>
          <w:bCs/>
          <w:color w:val="1F1E1E"/>
          <w:sz w:val="22"/>
          <w:szCs w:val="22"/>
        </w:rPr>
        <w:t xml:space="preserve">Employees.</w:t>
      </w:r>
      <w:r>
        <w:rPr>
          <w:rFonts w:ascii="Arial" w:cs="Arial" w:eastAsia="Arial" w:hAnsi="Arial"/>
          <w:color w:val="1F1E1E"/>
          <w:sz w:val="22"/>
          <w:szCs w:val="22"/>
        </w:rPr>
        <w:t xml:space="preserve"> Counseling, written warning, performance improvement plan, suspension with or without pay, demotion, or termination, in accordance with the Foundation's employee handbook and applicable Texas law.</w:t>
      </w:r>
    </w:p>
    <w:p>
      <w:pPr>
        <w:spacing w:after="120" w:before="60" w:line="320"/>
        <w:jc w:val="both"/>
      </w:pPr>
      <w:r>
        <w:rPr>
          <w:rFonts w:ascii="Arial" w:cs="Arial" w:eastAsia="Arial" w:hAnsi="Arial"/>
          <w:color w:val="1F1E1E"/>
          <w:sz w:val="22"/>
          <w:szCs w:val="22"/>
        </w:rPr>
        <w:t xml:space="preserve">(b) </w:t>
      </w:r>
      <w:r>
        <w:rPr>
          <w:rFonts w:ascii="Arial" w:cs="Arial" w:eastAsia="Arial" w:hAnsi="Arial"/>
          <w:b/>
          <w:bCs/>
          <w:color w:val="1F1E1E"/>
          <w:sz w:val="22"/>
          <w:szCs w:val="22"/>
        </w:rPr>
        <w:t xml:space="preserve">Volunteers and Contractors.</w:t>
      </w:r>
      <w:r>
        <w:rPr>
          <w:rFonts w:ascii="Arial" w:cs="Arial" w:eastAsia="Arial" w:hAnsi="Arial"/>
          <w:color w:val="1F1E1E"/>
          <w:sz w:val="22"/>
          <w:szCs w:val="22"/>
        </w:rPr>
        <w:t xml:space="preserve"> Counseling, written warning, removal from assignments, non-renewal of contract, or termination of relationship.</w:t>
      </w:r>
    </w:p>
    <w:p>
      <w:pPr>
        <w:spacing w:after="120" w:before="60" w:line="320"/>
        <w:jc w:val="both"/>
      </w:pPr>
      <w:r>
        <w:rPr>
          <w:rFonts w:ascii="Arial" w:cs="Arial" w:eastAsia="Arial" w:hAnsi="Arial"/>
          <w:color w:val="1F1E1E"/>
          <w:sz w:val="22"/>
          <w:szCs w:val="22"/>
        </w:rPr>
        <w:t xml:space="preserve">(c) </w:t>
      </w:r>
      <w:r>
        <w:rPr>
          <w:rFonts w:ascii="Arial" w:cs="Arial" w:eastAsia="Arial" w:hAnsi="Arial"/>
          <w:b/>
          <w:bCs/>
          <w:color w:val="1F1E1E"/>
          <w:sz w:val="22"/>
          <w:szCs w:val="22"/>
        </w:rPr>
        <w:t xml:space="preserve">Directors.</w:t>
      </w:r>
      <w:r>
        <w:rPr>
          <w:rFonts w:ascii="Arial" w:cs="Arial" w:eastAsia="Arial" w:hAnsi="Arial"/>
          <w:color w:val="1F1E1E"/>
          <w:sz w:val="22"/>
          <w:szCs w:val="22"/>
        </w:rPr>
        <w:t xml:space="preserve"> Private reprimand, public censure recorded in minutes, removal from committee assignments, suspension of voting rights, or removal from the Board under Bylaws Article [INSERT] § [INSERT].</w:t>
      </w:r>
    </w:p>
    <w:p>
      <w:pPr>
        <w:spacing w:after="120" w:before="60" w:line="320"/>
        <w:jc w:val="both"/>
      </w:pPr>
      <w:r>
        <w:rPr>
          <w:rFonts w:ascii="Arial" w:cs="Arial" w:eastAsia="Arial" w:hAnsi="Arial"/>
          <w:color w:val="1F1E1E"/>
          <w:sz w:val="22"/>
          <w:szCs w:val="22"/>
        </w:rPr>
        <w:t xml:space="preserve">Prior to imposing any remedy other than counseling or written warning, the affected person shall receive written notice of the alleged violation and a reasonable opportunity, not less than fourteen (14) days, to respond.</w:t>
      </w:r>
    </w:p>
    <w:p>
      <w:pPr>
        <w:keepNext/>
        <w:spacing w:after="160" w:before="360"/>
      </w:pPr>
      <w:r>
        <w:rPr>
          <w:rFonts w:ascii="Arial" w:cs="Arial" w:eastAsia="Arial" w:hAnsi="Arial"/>
          <w:b/>
          <w:bCs/>
          <w:color w:val="561217"/>
          <w:sz w:val="26"/>
          <w:szCs w:val="26"/>
        </w:rPr>
        <w:t xml:space="preserve">Signatures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Name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Signature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10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10  ·  CODE OF CONDUCT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creator>Holon Foundation</dc:creator>
  <dc:description>Holon Foundation — Policy No. 10</dc:description>
  <cp:lastModifiedBy>Un-named</cp:lastModifiedBy>
  <cp:revision>1</cp:revision>
  <dcterms:created xsi:type="dcterms:W3CDTF">2026-05-21T02:41:41.541Z</dcterms:created>
  <dcterms:modified xsi:type="dcterms:W3CDTF">2026-05-21T02:41:41.541Z</dcterms:modified>
</cp:coreProperties>
</file>

<file path=docProps/custom.xml><?xml version="1.0" encoding="utf-8"?>
<Properties xmlns="http://schemas.openxmlformats.org/officeDocument/2006/custom-properties" xmlns:vt="http://schemas.openxmlformats.org/officeDocument/2006/docPropsVTypes"/>
</file>