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09</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Confidentiality Agreement</w:t>
      </w:r>
    </w:p>
    <w:p>
      <w:pPr>
        <w:spacing w:after="0" w:before="0"/>
        <w:jc w:val="center"/>
      </w:pPr>
      <w:r>
        <w:rPr>
          <w:rFonts w:ascii="Arial" w:cs="Arial" w:eastAsia="Arial" w:hAnsi="Arial"/>
          <w:i/>
          <w:iCs/>
          <w:color w:val="4A4A4A"/>
          <w:sz w:val="20"/>
          <w:szCs w:val="20"/>
        </w:rPr>
        <w:t xml:space="preserve">Holon Foundation — Policy No. 09</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Replaced the flat 3-year post-service duration with category-specific durations: indefinite for trade secrets, donor PII, attorney-client privilege, and personnel disciplinary records; 3-year minimum for other Confidential Information.</w:t>
      </w:r>
    </w:p>
    <w:p>
      <w:pPr>
        <w:pStyle w:val="ListParagraph"/>
        <w:numPr>
          <w:ilvl w:val="0"/>
          <w:numId w:val="2"/>
        </w:numPr>
        <w:spacing w:after="40" w:before="40" w:line="300"/>
      </w:pPr>
      <w:r>
        <w:rPr>
          <w:rFonts w:ascii="Arial" w:cs="Arial" w:eastAsia="Arial" w:hAnsi="Arial"/>
          <w:color w:val="1F1E1E"/>
          <w:sz w:val="22"/>
          <w:szCs w:val="22"/>
        </w:rPr>
        <w:t xml:space="preserve">Added explicit Whistleblower and Reporting Carve-Out (and the required DTSA immunity notice under 18 U.S.C. § 1833(b)(3)), ensuring the Agreement cannot be construed to silence protected disclosures under SOX § 1107 / SEC Rule 21F-17.</w:t>
      </w:r>
    </w:p>
    <w:p>
      <w:pPr>
        <w:pStyle w:val="ListParagraph"/>
        <w:numPr>
          <w:ilvl w:val="0"/>
          <w:numId w:val="2"/>
        </w:numPr>
        <w:spacing w:after="40" w:before="40" w:line="300"/>
      </w:pPr>
      <w:r>
        <w:rPr>
          <w:rFonts w:ascii="Arial" w:cs="Arial" w:eastAsia="Arial" w:hAnsi="Arial"/>
          <w:color w:val="1F1E1E"/>
          <w:sz w:val="22"/>
          <w:szCs w:val="22"/>
        </w:rPr>
        <w:t xml:space="preserve">Added Foundation election between return and destruction at separation, with 14-day return / 30-day certification requirement.</w:t>
      </w:r>
    </w:p>
    <w:p>
      <w:pPr>
        <w:pStyle w:val="ListParagraph"/>
        <w:numPr>
          <w:ilvl w:val="0"/>
          <w:numId w:val="2"/>
        </w:numPr>
        <w:spacing w:after="40" w:before="40" w:line="300"/>
      </w:pPr>
      <w:r>
        <w:rPr>
          <w:rFonts w:ascii="Arial" w:cs="Arial" w:eastAsia="Arial" w:hAnsi="Arial"/>
          <w:color w:val="1F1E1E"/>
          <w:sz w:val="22"/>
          <w:szCs w:val="22"/>
        </w:rPr>
        <w:t xml:space="preserve">Strengthened Remedies with bond-waiver under Texas Rules of Civil Procedure 684, attorney's fee shifting under the Texas Uniform Trade Secrets Act, and indemnification for third-party claims.</w:t>
      </w:r>
    </w:p>
    <w:p>
      <w:pPr>
        <w:pStyle w:val="ListParagraph"/>
        <w:numPr>
          <w:ilvl w:val="0"/>
          <w:numId w:val="2"/>
        </w:numPr>
        <w:spacing w:after="40" w:before="40" w:line="300"/>
      </w:pPr>
      <w:r>
        <w:rPr>
          <w:rFonts w:ascii="Arial" w:cs="Arial" w:eastAsia="Arial" w:hAnsi="Arial"/>
          <w:color w:val="1F1E1E"/>
          <w:sz w:val="22"/>
          <w:szCs w:val="22"/>
        </w:rPr>
        <w:t xml:space="preserve">Expanded the Confidential Information definition to include executive-session existence and AI / algorithmic data per Policy No. 17.</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Agreement</w:t>
      </w:r>
    </w:p>
    <w:p>
      <w:pPr>
        <w:spacing w:after="120" w:before="60" w:line="320"/>
        <w:jc w:val="both"/>
      </w:pPr>
      <w:r>
        <w:rPr>
          <w:rFonts w:ascii="Arial" w:cs="Arial" w:eastAsia="Arial" w:hAnsi="Arial"/>
          <w:color w:val="1F1E1E"/>
          <w:sz w:val="22"/>
          <w:szCs w:val="22"/>
        </w:rPr>
        <w:t xml:space="preserve">This Confidentiality Agreement ("Agreement") is entered into between Holon Foundation ("Organization") and the undersigned individual ("Recipient") as of the date signed below.</w:t>
      </w:r>
    </w:p>
    <w:p>
      <w:pPr>
        <w:keepNext/>
        <w:spacing w:after="160" w:before="360"/>
      </w:pPr>
      <w:r>
        <w:rPr>
          <w:rFonts w:ascii="Arial" w:cs="Arial" w:eastAsia="Arial" w:hAnsi="Arial"/>
          <w:b/>
          <w:bCs/>
          <w:color w:val="561217"/>
          <w:sz w:val="26"/>
          <w:szCs w:val="26"/>
        </w:rPr>
        <w:t xml:space="preserve">Confidential Information Defined</w:t>
      </w:r>
    </w:p>
    <w:p>
      <w:pPr>
        <w:spacing w:after="120" w:before="60" w:line="320"/>
        <w:jc w:val="both"/>
      </w:pPr>
      <w:r>
        <w:rPr>
          <w:rFonts w:ascii="Arial" w:cs="Arial" w:eastAsia="Arial" w:hAnsi="Arial"/>
          <w:color w:val="1F1E1E"/>
          <w:sz w:val="22"/>
          <w:szCs w:val="22"/>
        </w:rPr>
        <w:t xml:space="preserve">Confidential Information includes, but is not limited to:</w:t>
      </w:r>
    </w:p>
    <w:p>
      <w:pPr>
        <w:spacing w:after="120" w:before="60" w:line="320"/>
        <w:jc w:val="both"/>
      </w:pPr>
      <w:r>
        <w:rPr>
          <w:rFonts w:ascii="Arial" w:cs="Arial" w:eastAsia="Arial" w:hAnsi="Arial"/>
          <w:color w:val="1F1E1E"/>
          <w:sz w:val="22"/>
          <w:szCs w:val="22"/>
        </w:rPr>
        <w:t xml:space="preserve">(a) Non-public financial information, including budgets, projections, and donor data; (b) Board deliberations, votes, and internal discussions not designated as public; (c) Personnel information, including compensation, evaluations, and disciplinary matters; (d) Strategic plans, draft policies, and internal reports prior to public release; (e) Donor and supporter personal information and giving history; (f) Information shared during executive sessions; (g) Technology systems, access credentials, and security protocols; (h) Legal advice and attorney-client privileged communications; (i) Whistleblower reports and investigation details, consistent with Holon Foundation Policy No. 05; (j) The existence, agenda, or content of any executive session of the Board of Directors or any committee, regardless of whether substantive matters were discussed; (k) Any algorithmic models, datasets used for training such models, model parameters, evaluation data, or AI-generated content created by or on behalf of the Foundation, including those subject to Holon Foundation Policy No. 17 (AI and Technology Ethics Policy).</w:t>
      </w:r>
    </w:p>
    <w:p>
      <w:pPr>
        <w:keepNext/>
        <w:spacing w:after="160" w:before="360"/>
      </w:pPr>
      <w:r>
        <w:rPr>
          <w:rFonts w:ascii="Arial" w:cs="Arial" w:eastAsia="Arial" w:hAnsi="Arial"/>
          <w:b/>
          <w:bCs/>
          <w:color w:val="561217"/>
          <w:sz w:val="26"/>
          <w:szCs w:val="26"/>
        </w:rPr>
        <w:t xml:space="preserve">Obligations</w:t>
      </w:r>
    </w:p>
    <w:p>
      <w:pPr>
        <w:spacing w:after="120" w:before="60" w:line="320"/>
        <w:jc w:val="both"/>
      </w:pPr>
      <w:r>
        <w:rPr>
          <w:rFonts w:ascii="Arial" w:cs="Arial" w:eastAsia="Arial" w:hAnsi="Arial"/>
          <w:color w:val="1F1E1E"/>
          <w:sz w:val="22"/>
          <w:szCs w:val="22"/>
        </w:rPr>
        <w:t xml:space="preserve">The Recipient agrees to:</w:t>
      </w:r>
    </w:p>
    <w:p>
      <w:pPr>
        <w:spacing w:after="120" w:before="60" w:line="320"/>
        <w:jc w:val="both"/>
      </w:pPr>
      <w:r>
        <w:rPr>
          <w:rFonts w:ascii="Arial" w:cs="Arial" w:eastAsia="Arial" w:hAnsi="Arial"/>
          <w:color w:val="1F1E1E"/>
          <w:sz w:val="22"/>
          <w:szCs w:val="22"/>
        </w:rPr>
        <w:t xml:space="preserve">1. Use Confidential Information solely for the purpose of fulfilling their duties to Holon Foundation.</w:t>
      </w:r>
    </w:p>
    <w:p>
      <w:pPr>
        <w:spacing w:after="120" w:before="60" w:line="320"/>
        <w:jc w:val="both"/>
      </w:pPr>
      <w:r>
        <w:rPr>
          <w:rFonts w:ascii="Arial" w:cs="Arial" w:eastAsia="Arial" w:hAnsi="Arial"/>
          <w:color w:val="1F1E1E"/>
          <w:sz w:val="22"/>
          <w:szCs w:val="22"/>
        </w:rPr>
        <w:t xml:space="preserve">2. Not disclose Confidential Information to any third party without prior written authorization from the Board Chair or Executive Director.</w:t>
      </w:r>
    </w:p>
    <w:p>
      <w:pPr>
        <w:spacing w:after="120" w:before="60" w:line="320"/>
        <w:jc w:val="both"/>
      </w:pPr>
      <w:r>
        <w:rPr>
          <w:rFonts w:ascii="Arial" w:cs="Arial" w:eastAsia="Arial" w:hAnsi="Arial"/>
          <w:color w:val="1F1E1E"/>
          <w:sz w:val="22"/>
          <w:szCs w:val="22"/>
        </w:rPr>
        <w:t xml:space="preserve">3. Take reasonable precautions to prevent unauthorized access to Confidential Information, including securing physical documents and using strong passwords for digital access.</w:t>
      </w:r>
    </w:p>
    <w:p>
      <w:pPr>
        <w:spacing w:after="120" w:before="60" w:line="320"/>
        <w:jc w:val="both"/>
      </w:pPr>
      <w:r>
        <w:rPr>
          <w:rFonts w:ascii="Arial" w:cs="Arial" w:eastAsia="Arial" w:hAnsi="Arial"/>
          <w:color w:val="1F1E1E"/>
          <w:sz w:val="22"/>
          <w:szCs w:val="22"/>
        </w:rPr>
        <w:t xml:space="preserve">4. Promptly notify the Board Chair of any suspected or actual unauthorized disclosure.</w:t>
      </w:r>
    </w:p>
    <w:p>
      <w:pPr>
        <w:spacing w:after="120" w:before="60" w:line="320"/>
        <w:jc w:val="both"/>
      </w:pPr>
      <w:r>
        <w:rPr>
          <w:rFonts w:ascii="Arial" w:cs="Arial" w:eastAsia="Arial" w:hAnsi="Arial"/>
          <w:color w:val="1F1E1E"/>
          <w:sz w:val="22"/>
          <w:szCs w:val="22"/>
        </w:rPr>
        <w:t xml:space="preserve">5. </w:t>
      </w:r>
      <w:r>
        <w:rPr>
          <w:rFonts w:ascii="Arial" w:cs="Arial" w:eastAsia="Arial" w:hAnsi="Arial"/>
          <w:b/>
          <w:bCs/>
          <w:color w:val="1F1E1E"/>
          <w:sz w:val="22"/>
          <w:szCs w:val="22"/>
        </w:rPr>
        <w:t xml:space="preserve">Return or destroy</w:t>
      </w:r>
      <w:r>
        <w:rPr>
          <w:rFonts w:ascii="Arial" w:cs="Arial" w:eastAsia="Arial" w:hAnsi="Arial"/>
          <w:color w:val="1F1E1E"/>
          <w:sz w:val="22"/>
          <w:szCs w:val="22"/>
        </w:rPr>
        <w:t xml:space="preserve"> all Confidential Information upon termination of service or upon written request by the Board Chair or Executive Director. At the Foundation's election, the Recipient shall either (i) return all tangible and electronic Confidential Information to the Foundation within fourteen (14) days, or (ii) permanently destroy such Confidential Information using NIST SP 800-88-compliant methods for electronic data and cross-cut shredding for paper. The Recipient shall provide a signed certification of return or destruction within thirty (30) days of the termination event.</w:t>
      </w:r>
    </w:p>
    <w:p>
      <w:pPr>
        <w:keepNext/>
        <w:spacing w:after="160" w:before="360"/>
      </w:pPr>
      <w:r>
        <w:rPr>
          <w:rFonts w:ascii="Arial" w:cs="Arial" w:eastAsia="Arial" w:hAnsi="Arial"/>
          <w:b/>
          <w:bCs/>
          <w:color w:val="561217"/>
          <w:sz w:val="26"/>
          <w:szCs w:val="26"/>
        </w:rPr>
        <w:t xml:space="preserve">Exceptions</w:t>
      </w:r>
    </w:p>
    <w:p>
      <w:pPr>
        <w:spacing w:after="120" w:before="60" w:line="320"/>
        <w:jc w:val="both"/>
      </w:pPr>
      <w:r>
        <w:rPr>
          <w:rFonts w:ascii="Arial" w:cs="Arial" w:eastAsia="Arial" w:hAnsi="Arial"/>
          <w:color w:val="1F1E1E"/>
          <w:sz w:val="22"/>
          <w:szCs w:val="22"/>
        </w:rPr>
        <w:t xml:space="preserve">This Agreement does not apply to information that:</w:t>
      </w:r>
    </w:p>
    <w:p>
      <w:pPr>
        <w:spacing w:after="120" w:before="60" w:line="320"/>
        <w:jc w:val="both"/>
      </w:pPr>
      <w:r>
        <w:rPr>
          <w:rFonts w:ascii="Arial" w:cs="Arial" w:eastAsia="Arial" w:hAnsi="Arial"/>
          <w:color w:val="1F1E1E"/>
          <w:sz w:val="22"/>
          <w:szCs w:val="22"/>
        </w:rPr>
        <w:t xml:space="preserve">(a) Is or becomes publicly available through no fault of the Recipient; (b) Was known to the Recipient before receiving it from Holon Foundation; (c) Is independently developed by the Recipient without reference to Confidential Information; (d) Is required to be disclosed by law, regulation, or court order (with prompt notice to the Organization).</w:t>
      </w:r>
    </w:p>
    <w:p>
      <w:pPr>
        <w:keepNext/>
        <w:spacing w:after="160" w:before="360"/>
      </w:pPr>
      <w:r>
        <w:rPr>
          <w:rFonts w:ascii="Arial" w:cs="Arial" w:eastAsia="Arial" w:hAnsi="Arial"/>
          <w:b/>
          <w:bCs/>
          <w:color w:val="561217"/>
          <w:sz w:val="26"/>
          <w:szCs w:val="26"/>
        </w:rPr>
        <w:t xml:space="preserve">Whistleblower and Reporting Carve-Out</w:t>
      </w:r>
    </w:p>
    <w:p>
      <w:pPr>
        <w:spacing w:after="120" w:before="60" w:line="320"/>
        <w:jc w:val="both"/>
      </w:pPr>
      <w:r>
        <w:rPr>
          <w:rFonts w:ascii="Arial" w:cs="Arial" w:eastAsia="Arial" w:hAnsi="Arial"/>
          <w:color w:val="1F1E1E"/>
          <w:sz w:val="22"/>
          <w:szCs w:val="22"/>
        </w:rPr>
        <w:t xml:space="preserve">Notwithstanding any other provision of this Agreement, the Recipient retains the right to:</w:t>
      </w:r>
    </w:p>
    <w:p>
      <w:pPr>
        <w:spacing w:after="120" w:before="60" w:line="320"/>
        <w:jc w:val="both"/>
      </w:pPr>
      <w:r>
        <w:rPr>
          <w:rFonts w:ascii="Arial" w:cs="Arial" w:eastAsia="Arial" w:hAnsi="Arial"/>
          <w:color w:val="1F1E1E"/>
          <w:sz w:val="22"/>
          <w:szCs w:val="22"/>
        </w:rPr>
        <w:t xml:space="preserve">(a) make reports of suspected violations of law to any federal, state, or local government agency or regulator, including without limitation the Internal Revenue Service, the Texas Attorney General, the U.S. Department of Labor, the Securities and Exchange Commission, and the Foundation's outside auditors;</w:t>
      </w:r>
    </w:p>
    <w:p>
      <w:pPr>
        <w:spacing w:after="120" w:before="60" w:line="320"/>
        <w:jc w:val="both"/>
      </w:pPr>
      <w:r>
        <w:rPr>
          <w:rFonts w:ascii="Arial" w:cs="Arial" w:eastAsia="Arial" w:hAnsi="Arial"/>
          <w:color w:val="1F1E1E"/>
          <w:sz w:val="22"/>
          <w:szCs w:val="22"/>
        </w:rPr>
        <w:t xml:space="preserve">(b) cooperate fully with any such governmental investigation;</w:t>
      </w:r>
    </w:p>
    <w:p>
      <w:pPr>
        <w:spacing w:after="120" w:before="60" w:line="320"/>
        <w:jc w:val="both"/>
      </w:pPr>
      <w:r>
        <w:rPr>
          <w:rFonts w:ascii="Arial" w:cs="Arial" w:eastAsia="Arial" w:hAnsi="Arial"/>
          <w:color w:val="1F1E1E"/>
          <w:sz w:val="22"/>
          <w:szCs w:val="22"/>
        </w:rPr>
        <w:t xml:space="preserve">(c) participate in or testify in any proceeding under such laws; and</w:t>
      </w:r>
    </w:p>
    <w:p>
      <w:pPr>
        <w:spacing w:after="120" w:before="60" w:line="320"/>
        <w:jc w:val="both"/>
      </w:pPr>
      <w:r>
        <w:rPr>
          <w:rFonts w:ascii="Arial" w:cs="Arial" w:eastAsia="Arial" w:hAnsi="Arial"/>
          <w:color w:val="1F1E1E"/>
          <w:sz w:val="22"/>
          <w:szCs w:val="22"/>
        </w:rPr>
        <w:t xml:space="preserve">(d) make any disclosure required or protected by Holon Foundation Policy No. 05 (Whistleblower Protection Policy) or Sarbanes-Oxley §§ 806 (18 U.S.C. § 1514A) or 1107 (18 U.S.C. § 1513(e)).</w:t>
      </w:r>
    </w:p>
    <w:p>
      <w:pPr>
        <w:spacing w:after="120" w:before="60" w:line="320"/>
        <w:jc w:val="both"/>
      </w:pPr>
      <w:r>
        <w:rPr>
          <w:rFonts w:ascii="Arial" w:cs="Arial" w:eastAsia="Arial" w:hAnsi="Arial"/>
          <w:b/>
          <w:bCs/>
          <w:color w:val="1F1E1E"/>
          <w:sz w:val="22"/>
          <w:szCs w:val="22"/>
        </w:rPr>
        <w:t xml:space="preserve">DTSA Immunity Notice.</w:t>
      </w:r>
      <w:r>
        <w:rPr>
          <w:rFonts w:ascii="Arial" w:cs="Arial" w:eastAsia="Arial" w:hAnsi="Arial"/>
          <w:color w:val="1F1E1E"/>
          <w:sz w:val="22"/>
          <w:szCs w:val="22"/>
        </w:rPr>
        <w:t xml:space="preserve"> The Recipient is hereby notified, pursuant to 18 U.S.C. § 1833(b)(3), that under the federal Defend Trade Secrets Act, an individual shall not be held criminally or civilly liable for the disclosure of a trade secret that is made in confidence to a federal, state, or local government official or to an attorney solely for the purpose of reporting or investigating a suspected violation of law, or in a complaint or other document filed in a lawsuit or other proceeding if such filing is made under seal.</w:t>
      </w:r>
    </w:p>
    <w:p>
      <w:pPr>
        <w:keepNext/>
        <w:spacing w:after="160" w:before="360"/>
      </w:pPr>
      <w:r>
        <w:rPr>
          <w:rFonts w:ascii="Arial" w:cs="Arial" w:eastAsia="Arial" w:hAnsi="Arial"/>
          <w:b/>
          <w:bCs/>
          <w:color w:val="561217"/>
          <w:sz w:val="26"/>
          <w:szCs w:val="26"/>
        </w:rPr>
        <w:t xml:space="preserve">Duration</w:t>
      </w:r>
    </w:p>
    <w:p>
      <w:pPr>
        <w:spacing w:after="120" w:before="60" w:line="320"/>
        <w:jc w:val="both"/>
      </w:pPr>
      <w:r>
        <w:rPr>
          <w:rFonts w:ascii="Arial" w:cs="Arial" w:eastAsia="Arial" w:hAnsi="Arial"/>
          <w:color w:val="1F1E1E"/>
          <w:sz w:val="22"/>
          <w:szCs w:val="22"/>
        </w:rPr>
        <w:t xml:space="preserve">The Recipient's obligations under this Agreement shall apply:</w:t>
      </w:r>
    </w:p>
    <w:p>
      <w:pPr>
        <w:spacing w:after="120" w:before="60" w:line="320"/>
        <w:jc w:val="both"/>
      </w:pPr>
      <w:r>
        <w:rPr>
          <w:rFonts w:ascii="Arial" w:cs="Arial" w:eastAsia="Arial" w:hAnsi="Arial"/>
          <w:color w:val="1F1E1E"/>
          <w:sz w:val="22"/>
          <w:szCs w:val="22"/>
        </w:rPr>
        <w:t xml:space="preserve">(a) for trade secrets and donor personally identifying information, indefinitely (or until the information ceases to qualify under applicable law);</w:t>
      </w:r>
    </w:p>
    <w:p>
      <w:pPr>
        <w:spacing w:after="120" w:before="60" w:line="320"/>
        <w:jc w:val="both"/>
      </w:pPr>
      <w:r>
        <w:rPr>
          <w:rFonts w:ascii="Arial" w:cs="Arial" w:eastAsia="Arial" w:hAnsi="Arial"/>
          <w:color w:val="1F1E1E"/>
          <w:sz w:val="22"/>
          <w:szCs w:val="22"/>
        </w:rPr>
        <w:t xml:space="preserve">(b) for attorney-client privileged communications, indefinitely;</w:t>
      </w:r>
    </w:p>
    <w:p>
      <w:pPr>
        <w:spacing w:after="120" w:before="60" w:line="320"/>
        <w:jc w:val="both"/>
      </w:pPr>
      <w:r>
        <w:rPr>
          <w:rFonts w:ascii="Arial" w:cs="Arial" w:eastAsia="Arial" w:hAnsi="Arial"/>
          <w:color w:val="1F1E1E"/>
          <w:sz w:val="22"/>
          <w:szCs w:val="22"/>
        </w:rPr>
        <w:t xml:space="preserve">(c) for personnel-disciplinary records, indefinitely as to the identity of the subject; and</w:t>
      </w:r>
    </w:p>
    <w:p>
      <w:pPr>
        <w:spacing w:after="120" w:before="60" w:line="320"/>
        <w:jc w:val="both"/>
      </w:pPr>
      <w:r>
        <w:rPr>
          <w:rFonts w:ascii="Arial" w:cs="Arial" w:eastAsia="Arial" w:hAnsi="Arial"/>
          <w:color w:val="1F1E1E"/>
          <w:sz w:val="22"/>
          <w:szCs w:val="22"/>
        </w:rPr>
        <w:t xml:space="preserve">(d) for all other Confidential Information, for the longer of three (3) years following the end of the Recipient's service or such longer period as the information remains non-public through no act of the Recipient.</w:t>
      </w:r>
    </w:p>
    <w:p>
      <w:pPr>
        <w:keepNext/>
        <w:spacing w:after="160" w:before="360"/>
      </w:pPr>
      <w:r>
        <w:rPr>
          <w:rFonts w:ascii="Arial" w:cs="Arial" w:eastAsia="Arial" w:hAnsi="Arial"/>
          <w:b/>
          <w:bCs/>
          <w:color w:val="561217"/>
          <w:sz w:val="26"/>
          <w:szCs w:val="26"/>
        </w:rPr>
        <w:t xml:space="preserve">Remedies</w:t>
      </w:r>
    </w:p>
    <w:p>
      <w:pPr>
        <w:spacing w:after="120" w:before="60" w:line="320"/>
        <w:jc w:val="both"/>
      </w:pPr>
      <w:r>
        <w:rPr>
          <w:rFonts w:ascii="Arial" w:cs="Arial" w:eastAsia="Arial" w:hAnsi="Arial"/>
          <w:color w:val="1F1E1E"/>
          <w:sz w:val="22"/>
          <w:szCs w:val="22"/>
        </w:rPr>
        <w:t xml:space="preserve">The Recipient acknowledges that unauthorized disclosure of Confidential Information will cause irreparable harm to the Foundation for which monetary damages are an inadequate remedy. The Foundation shall be entitled, without the necessity of proving actual damages and to the extent permitted by law without posting a bond under Texas Rules of Civil Procedure Rule 684, to injunctive relief, specific performance, and other equitable remedies in addition to any damages available at law.</w:t>
      </w:r>
    </w:p>
    <w:p>
      <w:pPr>
        <w:spacing w:after="120" w:before="60" w:line="320"/>
        <w:jc w:val="both"/>
      </w:pPr>
      <w:r>
        <w:rPr>
          <w:rFonts w:ascii="Arial" w:cs="Arial" w:eastAsia="Arial" w:hAnsi="Arial"/>
          <w:color w:val="1F1E1E"/>
          <w:sz w:val="22"/>
          <w:szCs w:val="22"/>
        </w:rPr>
        <w:t xml:space="preserve">The prevailing party in any action arising under this Agreement shall be entitled to recover reasonable attorney's fees and costs, including under the Texas Uniform Trade Secrets Act (Bus. &amp; Com. Code § 134A.005) where applicable.</w:t>
      </w:r>
    </w:p>
    <w:p>
      <w:pPr>
        <w:spacing w:after="120" w:before="60" w:line="320"/>
        <w:jc w:val="both"/>
      </w:pPr>
      <w:r>
        <w:rPr>
          <w:rFonts w:ascii="Arial" w:cs="Arial" w:eastAsia="Arial" w:hAnsi="Arial"/>
          <w:color w:val="1F1E1E"/>
          <w:sz w:val="22"/>
          <w:szCs w:val="22"/>
        </w:rPr>
        <w:t xml:space="preserve">The Recipient shall indemnify and hold the Foundation harmless from any third-party claims, losses, or damages arising from the Recipient's breach of this Agreement.</w:t>
      </w:r>
    </w:p>
    <w:p>
      <w:pPr>
        <w:keepNext/>
        <w:spacing w:after="160" w:before="360"/>
      </w:pPr>
      <w:r>
        <w:rPr>
          <w:rFonts w:ascii="Arial" w:cs="Arial" w:eastAsia="Arial" w:hAnsi="Arial"/>
          <w:b/>
          <w:bCs/>
          <w:color w:val="561217"/>
          <w:sz w:val="26"/>
          <w:szCs w:val="26"/>
        </w:rPr>
        <w:t xml:space="preserve">Signatures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Field</w:t>
            </w:r>
          </w:p>
        </w:tc>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Details</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Name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Title/Role with Holon Foundation</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Signature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Date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bl>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09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09  ·  CONFIDENTIALITY AGREEMENT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Holon Foundation</dc:creator>
  <dc:description>Holon Foundation — Policy No. 09</dc:description>
  <cp:lastModifiedBy>Un-named</cp:lastModifiedBy>
  <cp:revision>1</cp:revision>
  <dcterms:created xsi:type="dcterms:W3CDTF">2026-05-21T02:41:41.414Z</dcterms:created>
  <dcterms:modified xsi:type="dcterms:W3CDTF">2026-05-21T02:41:41.414Z</dcterms:modified>
</cp:coreProperties>
</file>

<file path=docProps/custom.xml><?xml version="1.0" encoding="utf-8"?>
<Properties xmlns="http://schemas.openxmlformats.org/officeDocument/2006/custom-properties" xmlns:vt="http://schemas.openxmlformats.org/officeDocument/2006/docPropsVTypes"/>
</file>