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3B5937" w:sz="18" w:space="1"/>
        </w:pBdr>
        <w:spacing w:after="0" w:before="0"/>
      </w:pPr>
      <w:r>
        <w:rPr>
          <w:sz w:val="2"/>
          <w:szCs w:val="2"/>
        </w:rPr>
        <w:t xml:space="preserve"/>
      </w:r>
    </w:p>
    <w:p>
      <w:pPr>
        <w:spacing w:after="80" w:before="80"/>
      </w:pPr>
      <w:r>
        <w:t xml:space="preserve"/>
      </w:r>
    </w:p>
    <w:p>
      <w:pPr>
        <w:spacing w:after="0" w:before="120"/>
        <w:jc w:val="center"/>
      </w:pPr>
      <w:r>
        <w:rPr>
          <w:rFonts w:ascii="Arial" w:cs="Arial" w:eastAsia="Arial" w:hAnsi="Arial"/>
          <w:b/>
          <w:bCs/>
          <w:color w:val="561217"/>
          <w:spacing w:val="40"/>
          <w:sz w:val="16"/>
          <w:szCs w:val="16"/>
        </w:rPr>
        <w:t xml:space="preserve">HOLON FOUNDATION · GOVERNANCE POLICY</w:t>
      </w:r>
    </w:p>
    <w:p>
      <w:pPr>
        <w:spacing w:after="200" w:before="40"/>
        <w:jc w:val="center"/>
      </w:pPr>
      <w:r>
        <w:rPr>
          <w:rFonts w:ascii="Arial" w:cs="Arial" w:eastAsia="Arial" w:hAnsi="Arial"/>
          <w:b/>
          <w:bCs/>
          <w:color w:val="3B5937"/>
          <w:sz w:val="22"/>
          <w:szCs w:val="22"/>
        </w:rPr>
        <w:t xml:space="preserve">No. 07</w:t>
      </w:r>
    </w:p>
    <w:p>
      <w:pPr>
        <w:spacing w:after="120" w:before="120"/>
      </w:pPr>
      <w:r>
        <w:t xml:space="preserve"/>
      </w:r>
    </w:p>
    <w:tbl>
      <w:tblPr>
        <w:tblW w:type="dxa" w:w="2835"/>
        <w:jc w:val="center"/>
        <w:tblBorders>
          <w:top w:val="none" w:color="FFFFFF" w:sz="0"/>
          <w:left w:val="none" w:color="FFFFFF" w:sz="0"/>
          <w:bottom w:val="none" w:color="FFFFFF" w:sz="0"/>
          <w:right w:val="none" w:color="FFFFFF" w:sz="0"/>
          <w:insideH w:val="none" w:color="FFFFFF" w:sz="0"/>
          <w:insideV w:val="none" w:color="FFFFFF" w:sz="0"/>
        </w:tblBorders>
      </w:tblPr>
      <w:tblGrid>
        <w:gridCol w:w="567"/>
        <w:gridCol w:w="567"/>
        <w:gridCol w:w="567"/>
        <w:gridCol w:w="567"/>
        <w:gridCol w:w="567"/>
      </w:tblGrid>
      <w:tr>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61217"/>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CF3E81"/>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00C0E9"/>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FFC95B"/>
                <w:sz w:val="28"/>
                <w:szCs w:val="28"/>
              </w:rPr>
              <w:t xml:space="preserve">●</w:t>
            </w:r>
          </w:p>
        </w:tc>
        <w:tc>
          <w:tcPr>
            <w:tcW w:type="dxa" w:w="567"/>
            <w:tcBorders>
              <w:top w:val="none" w:color="FFFFFF" w:sz="0"/>
              <w:left w:val="none" w:color="FFFFFF" w:sz="0"/>
              <w:bottom w:val="none" w:color="FFFFFF" w:sz="0"/>
              <w:right w:val="none" w:color="FFFFFF" w:sz="0"/>
            </w:tcBorders>
            <w:tcMar>
              <w:top w:type="dxa" w:w="0"/>
              <w:left w:type="dxa" w:w="80"/>
              <w:bottom w:type="dxa" w:w="0"/>
              <w:right w:type="dxa" w:w="80"/>
            </w:tcMar>
          </w:tcPr>
          <w:p>
            <w:pPr>
              <w:jc w:val="center"/>
            </w:pPr>
            <w:r>
              <w:rPr>
                <w:rFonts w:ascii="Arial" w:cs="Arial" w:eastAsia="Arial" w:hAnsi="Arial"/>
                <w:color w:val="5DC7A4"/>
                <w:sz w:val="28"/>
                <w:szCs w:val="28"/>
              </w:rPr>
              <w:t xml:space="preserve">●</w:t>
            </w:r>
          </w:p>
        </w:tc>
      </w:tr>
    </w:tbl>
    <w:p>
      <w:pPr>
        <w:spacing w:after="180" w:before="180"/>
      </w:pPr>
      <w:r>
        <w:t xml:space="preserve"/>
      </w:r>
    </w:p>
    <w:p>
      <w:pPr>
        <w:spacing w:after="80" w:before="0"/>
        <w:jc w:val="center"/>
      </w:pPr>
      <w:r>
        <w:rPr>
          <w:rFonts w:ascii="Arial" w:cs="Arial" w:eastAsia="Arial" w:hAnsi="Arial"/>
          <w:b/>
          <w:bCs/>
          <w:color w:val="1F1E1E"/>
          <w:sz w:val="44"/>
          <w:szCs w:val="44"/>
        </w:rPr>
        <w:t xml:space="preserve">Gift Acceptance Policy</w:t>
      </w:r>
    </w:p>
    <w:p>
      <w:pPr>
        <w:spacing w:after="0" w:before="0"/>
        <w:jc w:val="center"/>
      </w:pPr>
      <w:r>
        <w:rPr>
          <w:rFonts w:ascii="Arial" w:cs="Arial" w:eastAsia="Arial" w:hAnsi="Arial"/>
          <w:i/>
          <w:iCs/>
          <w:color w:val="4A4A4A"/>
          <w:sz w:val="20"/>
          <w:szCs w:val="20"/>
        </w:rPr>
        <w:t xml:space="preserve">Holon Foundation — Policy No. 07</w:t>
      </w:r>
    </w:p>
    <w:p>
      <w:pPr>
        <w:spacing w:after="240" w:before="240"/>
      </w:pPr>
      <w:r>
        <w:t xml:space="preserve"/>
      </w:r>
    </w:p>
    <w:tbl>
      <w:tblPr>
        <w:tblW w:type="dxa" w:w="7200"/>
        <w:jc w:val="center"/>
        <w:tblBorders>
          <w:top w:val="none" w:color="FFFFFF" w:sz="0"/>
          <w:left w:val="none" w:color="FFFFFF" w:sz="0"/>
          <w:bottom w:val="none" w:color="FFFFFF" w:sz="0"/>
          <w:right w:val="none" w:color="FFFFFF" w:sz="0"/>
          <w:insideH w:val="none" w:color="FFFFFF" w:sz="0"/>
          <w:insideV w:val="none" w:color="FFFFFF" w:sz="0"/>
        </w:tblBorders>
      </w:tblPr>
      <w:tblGrid>
        <w:gridCol w:w="2400"/>
        <w:gridCol w:w="2400"/>
        <w:gridCol w:w="2400"/>
      </w:tblGrid>
      <w:tr>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EFFECTIVE DATE</w:t>
            </w:r>
          </w:p>
          <w:p>
            <w:pPr>
              <w:spacing w:after="0" w:before="0"/>
              <w:jc w:val="center"/>
            </w:pPr>
            <w:r>
              <w:rPr>
                <w:rFonts w:ascii="Arial" w:cs="Arial" w:eastAsia="Arial" w:hAnsi="Arial"/>
                <w:color w:val="1F1E1E"/>
                <w:sz w:val="20"/>
                <w:szCs w:val="20"/>
              </w:rPr>
              <w:t xml:space="preserve">[INSERT]</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VERSION</w:t>
            </w:r>
          </w:p>
          <w:p>
            <w:pPr>
              <w:spacing w:after="0" w:before="0"/>
              <w:jc w:val="center"/>
            </w:pPr>
            <w:r>
              <w:rPr>
                <w:rFonts w:ascii="Arial" w:cs="Arial" w:eastAsia="Arial" w:hAnsi="Arial"/>
                <w:color w:val="1F1E1E"/>
                <w:sz w:val="20"/>
                <w:szCs w:val="20"/>
              </w:rPr>
              <w:t xml:space="preserve">2.0</w:t>
            </w:r>
          </w:p>
        </w:tc>
        <w:tc>
          <w:tcPr>
            <w:tcW w:type="dxa" w:w="2400"/>
            <w:tcBorders>
              <w:top w:val="single" w:color="561217" w:sz="6"/>
              <w:left w:val="none" w:color="FFFFFF" w:sz="0"/>
              <w:bottom w:val="single" w:color="561217" w:sz="6"/>
              <w:right w:val="none" w:color="FFFFFF" w:sz="0"/>
            </w:tcBorders>
            <w:tcMar>
              <w:top w:type="dxa" w:w="60"/>
              <w:left w:type="dxa" w:w="80"/>
              <w:bottom w:type="dxa" w:w="60"/>
              <w:right w:type="dxa" w:w="80"/>
            </w:tcMar>
            <w:vAlign w:val="center"/>
          </w:tcPr>
          <w:p>
            <w:pPr>
              <w:spacing w:after="40" w:before="0"/>
              <w:jc w:val="center"/>
            </w:pPr>
            <w:r>
              <w:rPr>
                <w:rFonts w:ascii="Arial" w:cs="Arial" w:eastAsia="Arial" w:hAnsi="Arial"/>
                <w:b/>
                <w:bCs/>
                <w:color w:val="561217"/>
                <w:spacing w:val="40"/>
                <w:sz w:val="14"/>
                <w:szCs w:val="14"/>
              </w:rPr>
              <w:t xml:space="preserve">JURISDICTION</w:t>
            </w:r>
          </w:p>
          <w:p>
            <w:pPr>
              <w:spacing w:after="0" w:before="0"/>
              <w:jc w:val="center"/>
            </w:pPr>
            <w:r>
              <w:rPr>
                <w:rFonts w:ascii="Arial" w:cs="Arial" w:eastAsia="Arial" w:hAnsi="Arial"/>
                <w:color w:val="1F1E1E"/>
                <w:sz w:val="20"/>
                <w:szCs w:val="20"/>
              </w:rPr>
              <w:t xml:space="preserve">Texas / US Federal</w:t>
            </w:r>
          </w:p>
        </w:tc>
      </w:tr>
    </w:tbl>
    <w:p>
      <w:pPr>
        <w:spacing w:after="120" w:before="120"/>
      </w:pPr>
      <w:r>
        <w:t xml:space="preserve"/>
      </w:r>
    </w:p>
    <w:p>
      <w:pPr>
        <w:spacing w:after="0" w:before="0" w:line="300"/>
        <w:ind w:left="720" w:right="720"/>
        <w:jc w:val="center"/>
      </w:pPr>
      <w:r>
        <w:rPr>
          <w:rFonts w:ascii="Arial" w:cs="Arial" w:eastAsia="Arial" w:hAnsi="Arial"/>
          <w:i/>
          <w:iCs/>
          <w:color w:val="4A4A4A"/>
          <w:sz w:val="18"/>
          <w:szCs w:val="18"/>
        </w:rPr>
        <w:t xml:space="preserve">Adopted by the Board of Directors of Holon Foundation by Resolution No. [INSERT] on [INSERT DATE]. Scheduled for review no later than three (3) years from the effective date, or sooner upon material change in applicable law or organizational structure. Maintained by the Secretary of the Board.</w:t>
      </w:r>
    </w:p>
    <w:p>
      <w:pPr>
        <w:spacing w:after="240" w:before="240"/>
      </w:pPr>
      <w:r>
        <w:t xml:space="preserve"/>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spacing w:after="80" w:before="80"/>
      </w:pPr>
      <w:r>
        <w:t xml:space="preserve"/>
      </w:r>
    </w:p>
    <w:p>
      <w:pPr>
        <w:spacing w:after="0" w:before="200"/>
        <w:jc w:val="center"/>
      </w:pPr>
      <w:r>
        <w:rPr>
          <w:rFonts w:ascii="Arial" w:cs="Arial" w:eastAsia="Arial" w:hAnsi="Arial"/>
          <w:color w:val="4A4A4A"/>
          <w:sz w:val="16"/>
          <w:szCs w:val="16"/>
        </w:rPr>
        <w:t xml:space="preserve">Holon Foundation  ·  </w:t>
      </w:r>
      <w:r>
        <w:rPr>
          <w:rFonts w:ascii="Arial" w:cs="Arial" w:eastAsia="Arial" w:hAnsi="Arial"/>
          <w:i/>
          <w:iCs/>
          <w:color w:val="4A4A4A"/>
          <w:sz w:val="16"/>
          <w:szCs w:val="16"/>
        </w:rPr>
        <w:t xml:space="preserve">dba Holon Gardens</w:t>
      </w:r>
      <w:r>
        <w:rPr>
          <w:rFonts w:ascii="Arial" w:cs="Arial" w:eastAsia="Arial" w:hAnsi="Arial"/>
          <w:color w:val="4A4A4A"/>
          <w:sz w:val="16"/>
          <w:szCs w:val="16"/>
        </w:rPr>
        <w:t xml:space="preserve">  ·  EIN 99-0563228  ·  </w:t>
      </w:r>
      <w:r>
        <w:rPr>
          <w:rFonts w:ascii="Arial" w:cs="Arial" w:eastAsia="Arial" w:hAnsi="Arial"/>
          <w:color w:val="561217"/>
          <w:sz w:val="16"/>
          <w:szCs w:val="16"/>
        </w:rPr>
        <w:t xml:space="preserve">holonfoundation.org</w:t>
      </w:r>
    </w:p>
    <w:p>
      <w:pPr>
        <w:pageBreakBefore/>
      </w:pPr>
      <w:r>
        <w:t xml:space="preserve"/>
      </w:r>
    </w:p>
    <w:p>
      <w:pPr>
        <w:keepNext/>
        <w:spacing w:after="120" w:before="240"/>
      </w:pPr>
      <w:r>
        <w:rPr>
          <w:rFonts w:ascii="Arial" w:cs="Arial" w:eastAsia="Arial" w:hAnsi="Arial"/>
          <w:b/>
          <w:bCs/>
          <w:color w:val="3B5937"/>
          <w:sz w:val="22"/>
          <w:szCs w:val="22"/>
        </w:rPr>
        <w:t xml:space="preserve">Summary of Revisions</w:t>
      </w:r>
    </w:p>
    <w:p>
      <w:pPr>
        <w:pStyle w:val="ListParagraph"/>
        <w:numPr>
          <w:ilvl w:val="0"/>
          <w:numId w:val="2"/>
        </w:numPr>
        <w:spacing w:after="40" w:before="40" w:line="300"/>
      </w:pPr>
      <w:r>
        <w:rPr>
          <w:rFonts w:ascii="Arial" w:cs="Arial" w:eastAsia="Arial" w:hAnsi="Arial"/>
          <w:color w:val="1F1E1E"/>
          <w:sz w:val="22"/>
          <w:szCs w:val="22"/>
        </w:rPr>
        <w:t xml:space="preserve">Added OFAC / Sanctions Screening section for gifts ≥ $5,000, all wire transfers, all foreign-source gifts, and reasonable-inquiry triggers, satisfying FATF Recommendation 8 and U.S. sanctions compliance.</w:t>
      </w:r>
    </w:p>
    <w:p>
      <w:pPr>
        <w:pStyle w:val="ListParagraph"/>
        <w:numPr>
          <w:ilvl w:val="0"/>
          <w:numId w:val="2"/>
        </w:numPr>
        <w:spacing w:after="40" w:before="40" w:line="300"/>
      </w:pPr>
      <w:r>
        <w:rPr>
          <w:rFonts w:ascii="Arial" w:cs="Arial" w:eastAsia="Arial" w:hAnsi="Arial"/>
          <w:color w:val="1F1E1E"/>
          <w:sz w:val="22"/>
          <w:szCs w:val="22"/>
        </w:rPr>
        <w:t xml:space="preserve">Added IRS Substantiation procedural section codifying contemporaneous-written-acknowledgment (IRC § 170(f)(8)), quid pro quo disclosure (IRC § 6115), Form 8282 donee-information-return (3-year rule), and Form 8283 acknowledgment standards.</w:t>
      </w:r>
    </w:p>
    <w:p>
      <w:pPr>
        <w:pStyle w:val="ListParagraph"/>
        <w:numPr>
          <w:ilvl w:val="0"/>
          <w:numId w:val="2"/>
        </w:numPr>
        <w:spacing w:after="40" w:before="40" w:line="300"/>
      </w:pPr>
      <w:r>
        <w:rPr>
          <w:rFonts w:ascii="Arial" w:cs="Arial" w:eastAsia="Arial" w:hAnsi="Arial"/>
          <w:color w:val="1F1E1E"/>
          <w:sz w:val="22"/>
          <w:szCs w:val="22"/>
        </w:rPr>
        <w:t xml:space="preserve">Added Real Property Due Diligence subsection requiring Phase I ESA, carrying-cost analysis, title examination, and Land Trust Alliance Standards for conservation easements before acceptance — addressing CERCLA strict-liability exposure.</w:t>
      </w:r>
    </w:p>
    <w:p>
      <w:pPr>
        <w:pStyle w:val="ListParagraph"/>
        <w:numPr>
          <w:ilvl w:val="0"/>
          <w:numId w:val="2"/>
        </w:numPr>
        <w:spacing w:after="40" w:before="40" w:line="300"/>
      </w:pPr>
      <w:r>
        <w:rPr>
          <w:rFonts w:ascii="Arial" w:cs="Arial" w:eastAsia="Arial" w:hAnsi="Arial"/>
          <w:color w:val="1F1E1E"/>
          <w:sz w:val="22"/>
          <w:szCs w:val="22"/>
        </w:rPr>
        <w:t xml:space="preserve">Expanded Gifts Not Accepted to cover anonymous gifts above threshold, foreign-government instrumentalities (FARA), and gifts conditioned on lobbying positions inconsistent with IRC § 501(h) / Policy No. 19.</w:t>
      </w:r>
    </w:p>
    <w:p>
      <w:pPr>
        <w:pStyle w:val="ListParagraph"/>
        <w:numPr>
          <w:ilvl w:val="0"/>
          <w:numId w:val="2"/>
        </w:numPr>
        <w:spacing w:after="40" w:before="40" w:line="300"/>
      </w:pPr>
      <w:r>
        <w:rPr>
          <w:rFonts w:ascii="Arial" w:cs="Arial" w:eastAsia="Arial" w:hAnsi="Arial"/>
          <w:color w:val="1F1E1E"/>
          <w:sz w:val="22"/>
          <w:szCs w:val="22"/>
        </w:rPr>
        <w:t xml:space="preserve">Clarified Foundation's Form 8283 signature role (acknowledges receipt, not valuation) and added donor responsibility for qualified appraisal under IRC § 170(f)(11).</w:t>
      </w:r>
    </w:p>
    <w:tbl>
      <w:tblPr>
        <w:tblW w:type="dxa" w:w="1800"/>
        <w:jc w:val="center"/>
        <w:tblBorders>
          <w:top w:val="none" w:color="FFFFFF" w:sz="0"/>
          <w:left w:val="none" w:color="FFFFFF" w:sz="0"/>
          <w:bottom w:val="none" w:color="FFFFFF" w:sz="0"/>
          <w:right w:val="none" w:color="FFFFFF" w:sz="0"/>
          <w:insideH w:val="none" w:color="FFFFFF" w:sz="0"/>
          <w:insideV w:val="none" w:color="FFFFFF" w:sz="0"/>
        </w:tblBorders>
      </w:tblPr>
      <w:tblGrid>
        <w:gridCol w:w="600"/>
        <w:gridCol w:w="600"/>
        <w:gridCol w:w="600"/>
      </w:tblGrid>
      <w:tr>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561217"/>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FFC95B"/>
                <w:sz w:val="14"/>
                <w:szCs w:val="14"/>
              </w:rPr>
              <w:t xml:space="preserve">●</w:t>
            </w:r>
          </w:p>
        </w:tc>
        <w:tc>
          <w:tcPr>
            <w:tcW w:type="dxa" w:w="600"/>
            <w:tcBorders>
              <w:top w:val="none" w:color="FFFFFF" w:sz="0"/>
              <w:left w:val="none" w:color="FFFFFF" w:sz="0"/>
              <w:bottom w:val="none" w:color="FFFFFF" w:sz="0"/>
              <w:right w:val="none" w:color="FFFFFF" w:sz="0"/>
            </w:tcBorders>
            <w:tcMar>
              <w:top w:type="dxa" w:w="60"/>
              <w:left w:type="dxa" w:w="60"/>
              <w:bottom w:type="dxa" w:w="60"/>
              <w:right w:type="dxa" w:w="60"/>
            </w:tcMar>
          </w:tcPr>
          <w:p>
            <w:pPr>
              <w:jc w:val="center"/>
            </w:pPr>
            <w:r>
              <w:rPr>
                <w:rFonts w:ascii="Arial" w:cs="Arial" w:eastAsia="Arial" w:hAnsi="Arial"/>
                <w:color w:val="00C0E9"/>
                <w:sz w:val="14"/>
                <w:szCs w:val="14"/>
              </w:rPr>
              <w:t xml:space="preserve">●</w:t>
            </w:r>
          </w:p>
        </w:tc>
      </w:tr>
    </w:tbl>
    <w:p>
      <w:pPr>
        <w:keepNext/>
        <w:spacing w:after="160" w:before="360"/>
      </w:pPr>
      <w:r>
        <w:rPr>
          <w:rFonts w:ascii="Arial" w:cs="Arial" w:eastAsia="Arial" w:hAnsi="Arial"/>
          <w:b/>
          <w:bCs/>
          <w:color w:val="561217"/>
          <w:sz w:val="26"/>
          <w:szCs w:val="26"/>
        </w:rPr>
        <w:t xml:space="preserve">Purpose</w:t>
      </w:r>
    </w:p>
    <w:p>
      <w:pPr>
        <w:spacing w:after="120" w:before="60" w:line="320"/>
        <w:jc w:val="both"/>
      </w:pPr>
      <w:r>
        <w:rPr>
          <w:rFonts w:ascii="Arial" w:cs="Arial" w:eastAsia="Arial" w:hAnsi="Arial"/>
          <w:color w:val="1F1E1E"/>
          <w:sz w:val="22"/>
          <w:szCs w:val="22"/>
        </w:rPr>
        <w:t xml:space="preserve">This policy establishes guidelines for the solicitation and acceptance of gifts to Holon Foundation. It ensures that gift acceptance aligns with the Foundation's mission, protects donor intent, complies with legal requirements, and safeguards the organization's reputation and independence.</w:t>
      </w:r>
    </w:p>
    <w:p>
      <w:pPr>
        <w:keepNext/>
        <w:spacing w:after="160" w:before="360"/>
      </w:pPr>
      <w:r>
        <w:rPr>
          <w:rFonts w:ascii="Arial" w:cs="Arial" w:eastAsia="Arial" w:hAnsi="Arial"/>
          <w:b/>
          <w:bCs/>
          <w:color w:val="561217"/>
          <w:sz w:val="26"/>
          <w:szCs w:val="26"/>
        </w:rPr>
        <w:t xml:space="preserve">Legal Foundation</w:t>
      </w:r>
    </w:p>
    <w:p>
      <w:pPr>
        <w:spacing w:after="120" w:before="60" w:line="320"/>
        <w:jc w:val="both"/>
      </w:pPr>
      <w:r>
        <w:rPr>
          <w:rFonts w:ascii="Arial" w:cs="Arial" w:eastAsia="Arial" w:hAnsi="Arial"/>
          <w:color w:val="1F1E1E"/>
          <w:sz w:val="22"/>
          <w:szCs w:val="22"/>
        </w:rPr>
        <w:t xml:space="preserve">This Policy is adopted with reference to: (a) Internal Revenue Code § 170 (charitable contribution deduction) and related substantiation requirements at IRC § 170(f)(8), § 170(f)(11), § 6115, IRS Publications 1771 and 526, and Treas. Reg. § 1.170A-13; (b) Forms 8282 (Donee Information Return) and 8283 (Noncash Charitable Contributions); (c) the U.S. Treasury Office of Foreign Assets Control (OFAC) sanctions program (31 C.F.R. Ch. V); (d) the Foreign Agents Registration Act (FARA), 22 U.S.C. § 611 et seq.; (e) the Comprehensive Environmental Response, Compensation, and Liability Act (CERCLA), 42 U.S.C. § 9607; (f) Texas charitable trust supervision under Texas Property Code § 123 and the Texas Attorney General; and (g) BBB Wise Giving Alliance Standards 14–17 and Council on Foundations gift-acceptance guidance.</w:t>
      </w:r>
    </w:p>
    <w:p>
      <w:pPr>
        <w:keepNext/>
        <w:spacing w:after="160" w:before="360"/>
      </w:pPr>
      <w:r>
        <w:rPr>
          <w:rFonts w:ascii="Arial" w:cs="Arial" w:eastAsia="Arial" w:hAnsi="Arial"/>
          <w:b/>
          <w:bCs/>
          <w:color w:val="561217"/>
          <w:sz w:val="26"/>
          <w:szCs w:val="26"/>
        </w:rPr>
        <w:t xml:space="preserve">General Principles</w:t>
      </w:r>
    </w:p>
    <w:p>
      <w:pPr>
        <w:pStyle w:val="ListParagraph"/>
        <w:numPr>
          <w:ilvl w:val="0"/>
          <w:numId w:val="2"/>
        </w:numPr>
        <w:spacing w:after="40" w:before="40" w:line="300"/>
      </w:pPr>
      <w:r>
        <w:rPr>
          <w:rFonts w:ascii="Arial" w:cs="Arial" w:eastAsia="Arial" w:hAnsi="Arial"/>
          <w:color w:val="1F1E1E"/>
          <w:sz w:val="22"/>
          <w:szCs w:val="22"/>
        </w:rPr>
        <w:t xml:space="preserve">Holon Foundation solicits and accepts gifts that are consistent with its conservation mission and values.</w:t>
      </w:r>
    </w:p>
    <w:p>
      <w:pPr>
        <w:pStyle w:val="ListParagraph"/>
        <w:numPr>
          <w:ilvl w:val="0"/>
          <w:numId w:val="2"/>
        </w:numPr>
        <w:spacing w:after="40" w:before="40" w:line="300"/>
      </w:pPr>
      <w:r>
        <w:rPr>
          <w:rFonts w:ascii="Arial" w:cs="Arial" w:eastAsia="Arial" w:hAnsi="Arial"/>
          <w:color w:val="1F1E1E"/>
          <w:sz w:val="22"/>
          <w:szCs w:val="22"/>
        </w:rPr>
        <w:t xml:space="preserve">No gift will be accepted that would compromise the Foundation's independence, integrity, or tax-exempt status.</w:t>
      </w:r>
    </w:p>
    <w:p>
      <w:pPr>
        <w:pStyle w:val="ListParagraph"/>
        <w:numPr>
          <w:ilvl w:val="0"/>
          <w:numId w:val="2"/>
        </w:numPr>
        <w:spacing w:after="40" w:before="40" w:line="300"/>
      </w:pPr>
      <w:r>
        <w:rPr>
          <w:rFonts w:ascii="Arial" w:cs="Arial" w:eastAsia="Arial" w:hAnsi="Arial"/>
          <w:color w:val="1F1E1E"/>
          <w:sz w:val="22"/>
          <w:szCs w:val="22"/>
        </w:rPr>
        <w:t xml:space="preserve">Donors are encouraged to seek independent legal and financial counsel before making significant gifts.</w:t>
      </w:r>
    </w:p>
    <w:p>
      <w:pPr>
        <w:pStyle w:val="ListParagraph"/>
        <w:numPr>
          <w:ilvl w:val="0"/>
          <w:numId w:val="2"/>
        </w:numPr>
        <w:spacing w:after="40" w:before="40" w:line="300"/>
      </w:pPr>
      <w:r>
        <w:rPr>
          <w:rFonts w:ascii="Arial" w:cs="Arial" w:eastAsia="Arial" w:hAnsi="Arial"/>
          <w:color w:val="1F1E1E"/>
          <w:sz w:val="22"/>
          <w:szCs w:val="22"/>
        </w:rPr>
        <w:t xml:space="preserve">Holon Foundation respects donor privacy and will not share donor information without consent, except as required by law (see Holon Foundation Policy No. 15, Data Privacy and Security Policy).</w:t>
      </w:r>
    </w:p>
    <w:p>
      <w:pPr>
        <w:keepNext/>
        <w:spacing w:after="160" w:before="360"/>
      </w:pPr>
      <w:r>
        <w:rPr>
          <w:rFonts w:ascii="Arial" w:cs="Arial" w:eastAsia="Arial" w:hAnsi="Arial"/>
          <w:b/>
          <w:bCs/>
          <w:color w:val="561217"/>
          <w:sz w:val="26"/>
          <w:szCs w:val="26"/>
        </w:rPr>
        <w:t xml:space="preserve">Gifts Generally Accepted Without Review</w:t>
      </w:r>
    </w:p>
    <w:p>
      <w:pPr>
        <w:pStyle w:val="ListParagraph"/>
        <w:numPr>
          <w:ilvl w:val="0"/>
          <w:numId w:val="2"/>
        </w:numPr>
        <w:spacing w:after="40" w:before="40" w:line="300"/>
      </w:pPr>
      <w:r>
        <w:rPr>
          <w:rFonts w:ascii="Arial" w:cs="Arial" w:eastAsia="Arial" w:hAnsi="Arial"/>
          <w:color w:val="1F1E1E"/>
          <w:sz w:val="22"/>
          <w:szCs w:val="22"/>
        </w:rPr>
        <w:t xml:space="preserve">Cash contributions (check, electronic transfer, credit card)</w:t>
      </w:r>
    </w:p>
    <w:p>
      <w:pPr>
        <w:pStyle w:val="ListParagraph"/>
        <w:numPr>
          <w:ilvl w:val="0"/>
          <w:numId w:val="2"/>
        </w:numPr>
        <w:spacing w:after="40" w:before="40" w:line="300"/>
      </w:pPr>
      <w:r>
        <w:rPr>
          <w:rFonts w:ascii="Arial" w:cs="Arial" w:eastAsia="Arial" w:hAnsi="Arial"/>
          <w:color w:val="1F1E1E"/>
          <w:sz w:val="22"/>
          <w:szCs w:val="22"/>
        </w:rPr>
        <w:t xml:space="preserve">Publicly traded securities</w:t>
      </w:r>
    </w:p>
    <w:p>
      <w:pPr>
        <w:pStyle w:val="ListParagraph"/>
        <w:numPr>
          <w:ilvl w:val="0"/>
          <w:numId w:val="2"/>
        </w:numPr>
        <w:spacing w:after="40" w:before="40" w:line="300"/>
      </w:pPr>
      <w:r>
        <w:rPr>
          <w:rFonts w:ascii="Arial" w:cs="Arial" w:eastAsia="Arial" w:hAnsi="Arial"/>
          <w:color w:val="1F1E1E"/>
          <w:sz w:val="22"/>
          <w:szCs w:val="22"/>
        </w:rPr>
        <w:t xml:space="preserve">Matching gifts from employers</w:t>
      </w:r>
    </w:p>
    <w:p>
      <w:pPr>
        <w:pStyle w:val="ListParagraph"/>
        <w:numPr>
          <w:ilvl w:val="0"/>
          <w:numId w:val="2"/>
        </w:numPr>
        <w:spacing w:after="40" w:before="40" w:line="300"/>
      </w:pPr>
      <w:r>
        <w:rPr>
          <w:rFonts w:ascii="Arial" w:cs="Arial" w:eastAsia="Arial" w:hAnsi="Arial"/>
          <w:color w:val="1F1E1E"/>
          <w:sz w:val="22"/>
          <w:szCs w:val="22"/>
        </w:rPr>
        <w:t xml:space="preserve">Bequests and beneficiary designations (after review of any restrictions)</w:t>
      </w:r>
    </w:p>
    <w:p>
      <w:pPr>
        <w:pStyle w:val="ListParagraph"/>
        <w:numPr>
          <w:ilvl w:val="0"/>
          <w:numId w:val="2"/>
        </w:numPr>
        <w:spacing w:after="40" w:before="40" w:line="300"/>
      </w:pPr>
      <w:r>
        <w:rPr>
          <w:rFonts w:ascii="Arial" w:cs="Arial" w:eastAsia="Arial" w:hAnsi="Arial"/>
          <w:color w:val="1F1E1E"/>
          <w:sz w:val="22"/>
          <w:szCs w:val="22"/>
        </w:rPr>
        <w:t xml:space="preserve">In-kind donations of supplies, equipment, or professional services valued under $5,000</w:t>
      </w:r>
    </w:p>
    <w:p>
      <w:pPr>
        <w:keepNext/>
        <w:spacing w:after="160" w:before="360"/>
      </w:pPr>
      <w:r>
        <w:rPr>
          <w:rFonts w:ascii="Arial" w:cs="Arial" w:eastAsia="Arial" w:hAnsi="Arial"/>
          <w:b/>
          <w:bCs/>
          <w:color w:val="561217"/>
          <w:sz w:val="26"/>
          <w:szCs w:val="26"/>
        </w:rPr>
        <w:t xml:space="preserve">OFAC and Sanctions Screening</w:t>
      </w:r>
    </w:p>
    <w:p>
      <w:pPr>
        <w:spacing w:after="120" w:before="60" w:line="320"/>
        <w:jc w:val="both"/>
      </w:pPr>
      <w:r>
        <w:rPr>
          <w:rFonts w:ascii="Arial" w:cs="Arial" w:eastAsia="Arial" w:hAnsi="Arial"/>
          <w:color w:val="1F1E1E"/>
          <w:sz w:val="22"/>
          <w:szCs w:val="22"/>
        </w:rPr>
        <w:t xml:space="preserve">The Foundation shall screen all of the following against the OFAC Specially Designated Nationals (SDN) list and U.S. Treasury sanctions lists prior to acceptance:</w:t>
      </w:r>
    </w:p>
    <w:p>
      <w:pPr>
        <w:spacing w:after="120" w:before="60" w:line="320"/>
        <w:jc w:val="both"/>
      </w:pPr>
      <w:r>
        <w:rPr>
          <w:rFonts w:ascii="Arial" w:cs="Arial" w:eastAsia="Arial" w:hAnsi="Arial"/>
          <w:color w:val="1F1E1E"/>
          <w:sz w:val="22"/>
          <w:szCs w:val="22"/>
        </w:rPr>
        <w:t xml:space="preserve">(a) any gift of $5,000 or more from a single donor in a 12-month period; (b) any gift received by wire transfer regardless of amount; (c) any gift from a non-U.S. source; (d) any gift from an entity not otherwise identified by a verifiable U.S. tax identification number; and (e) any gift where a reasonable Foundation representative would have cause to inquire into the source.</w:t>
      </w:r>
    </w:p>
    <w:p>
      <w:pPr>
        <w:spacing w:after="120" w:before="60" w:line="320"/>
        <w:jc w:val="both"/>
      </w:pPr>
      <w:r>
        <w:rPr>
          <w:rFonts w:ascii="Arial" w:cs="Arial" w:eastAsia="Arial" w:hAnsi="Arial"/>
          <w:color w:val="1F1E1E"/>
          <w:sz w:val="22"/>
          <w:szCs w:val="22"/>
        </w:rPr>
        <w:t xml:space="preserve">Screening shall be documented in the donor record. Gifts to or from sanctioned persons or entities shall not be accepted; if received in error, the Foundation shall immediately freeze the funds, notify outside counsel, and report to OFAC as required under 31 C.F.R. § 501.603.</w:t>
      </w:r>
    </w:p>
    <w:p>
      <w:pPr>
        <w:keepNext/>
        <w:spacing w:after="160" w:before="360"/>
      </w:pPr>
      <w:r>
        <w:rPr>
          <w:rFonts w:ascii="Arial" w:cs="Arial" w:eastAsia="Arial" w:hAnsi="Arial"/>
          <w:b/>
          <w:bCs/>
          <w:color w:val="561217"/>
          <w:sz w:val="26"/>
          <w:szCs w:val="26"/>
        </w:rPr>
        <w:t xml:space="preserve">Gifts Requiring Board or Committee Review</w:t>
      </w:r>
    </w:p>
    <w:p>
      <w:pPr>
        <w:spacing w:after="120" w:before="60" w:line="320"/>
        <w:jc w:val="both"/>
      </w:pPr>
      <w:r>
        <w:rPr>
          <w:rFonts w:ascii="Arial" w:cs="Arial" w:eastAsia="Arial" w:hAnsi="Arial"/>
          <w:color w:val="1F1E1E"/>
          <w:sz w:val="22"/>
          <w:szCs w:val="22"/>
        </w:rPr>
        <w:t xml:space="preserve">The following gifts must be reviewed and approved by the Finance Committee or full board before acceptance:</w:t>
      </w:r>
    </w:p>
    <w:p>
      <w:pPr>
        <w:pStyle w:val="ListParagraph"/>
        <w:numPr>
          <w:ilvl w:val="0"/>
          <w:numId w:val="2"/>
        </w:numPr>
        <w:spacing w:after="40" w:before="40" w:line="300"/>
      </w:pPr>
      <w:r>
        <w:rPr>
          <w:rFonts w:ascii="Arial" w:cs="Arial" w:eastAsia="Arial" w:hAnsi="Arial"/>
          <w:color w:val="1F1E1E"/>
          <w:sz w:val="22"/>
          <w:szCs w:val="22"/>
        </w:rPr>
        <w:t xml:space="preserve">Real property (land, buildings, or interests in real property) — subject to the Real Property Due Diligence subsection below</w:t>
      </w:r>
    </w:p>
    <w:p>
      <w:pPr>
        <w:pStyle w:val="ListParagraph"/>
        <w:numPr>
          <w:ilvl w:val="0"/>
          <w:numId w:val="2"/>
        </w:numPr>
        <w:spacing w:after="40" w:before="40" w:line="300"/>
      </w:pPr>
      <w:r>
        <w:rPr>
          <w:rFonts w:ascii="Arial" w:cs="Arial" w:eastAsia="Arial" w:hAnsi="Arial"/>
          <w:color w:val="1F1E1E"/>
          <w:sz w:val="22"/>
          <w:szCs w:val="22"/>
        </w:rPr>
        <w:t xml:space="preserve">Closely held or restricted securities</w:t>
      </w:r>
    </w:p>
    <w:p>
      <w:pPr>
        <w:pStyle w:val="ListParagraph"/>
        <w:numPr>
          <w:ilvl w:val="0"/>
          <w:numId w:val="2"/>
        </w:numPr>
        <w:spacing w:after="40" w:before="40" w:line="300"/>
      </w:pPr>
      <w:r>
        <w:rPr>
          <w:rFonts w:ascii="Arial" w:cs="Arial" w:eastAsia="Arial" w:hAnsi="Arial"/>
          <w:color w:val="1F1E1E"/>
          <w:sz w:val="22"/>
          <w:szCs w:val="22"/>
        </w:rPr>
        <w:t xml:space="preserve">Gifts with donor-imposed restrictions or conditions</w:t>
      </w:r>
    </w:p>
    <w:p>
      <w:pPr>
        <w:pStyle w:val="ListParagraph"/>
        <w:numPr>
          <w:ilvl w:val="0"/>
          <w:numId w:val="2"/>
        </w:numPr>
        <w:spacing w:after="40" w:before="40" w:line="300"/>
      </w:pPr>
      <w:r>
        <w:rPr>
          <w:rFonts w:ascii="Arial" w:cs="Arial" w:eastAsia="Arial" w:hAnsi="Arial"/>
          <w:color w:val="1F1E1E"/>
          <w:sz w:val="22"/>
          <w:szCs w:val="22"/>
        </w:rPr>
        <w:t xml:space="preserve">In-kind donations valued at $5,000 or more</w:t>
      </w:r>
    </w:p>
    <w:p>
      <w:pPr>
        <w:pStyle w:val="ListParagraph"/>
        <w:numPr>
          <w:ilvl w:val="0"/>
          <w:numId w:val="2"/>
        </w:numPr>
        <w:spacing w:after="40" w:before="40" w:line="300"/>
      </w:pPr>
      <w:r>
        <w:rPr>
          <w:rFonts w:ascii="Arial" w:cs="Arial" w:eastAsia="Arial" w:hAnsi="Arial"/>
          <w:color w:val="1F1E1E"/>
          <w:sz w:val="22"/>
          <w:szCs w:val="22"/>
        </w:rPr>
        <w:t xml:space="preserve">Gifts from entities with environmental practices that may conflict with the Foundation's conservation mission</w:t>
      </w:r>
    </w:p>
    <w:p>
      <w:pPr>
        <w:pStyle w:val="ListParagraph"/>
        <w:numPr>
          <w:ilvl w:val="0"/>
          <w:numId w:val="2"/>
        </w:numPr>
        <w:spacing w:after="40" w:before="40" w:line="300"/>
      </w:pPr>
      <w:r>
        <w:rPr>
          <w:rFonts w:ascii="Arial" w:cs="Arial" w:eastAsia="Arial" w:hAnsi="Arial"/>
          <w:color w:val="1F1E1E"/>
          <w:sz w:val="22"/>
          <w:szCs w:val="22"/>
        </w:rPr>
        <w:t xml:space="preserve">Gifts that would create ongoing financial obligations (maintenance, insurance, storage)</w:t>
      </w:r>
    </w:p>
    <w:p>
      <w:pPr>
        <w:pStyle w:val="ListParagraph"/>
        <w:numPr>
          <w:ilvl w:val="0"/>
          <w:numId w:val="2"/>
        </w:numPr>
        <w:spacing w:after="40" w:before="40" w:line="300"/>
      </w:pPr>
      <w:r>
        <w:rPr>
          <w:rFonts w:ascii="Arial" w:cs="Arial" w:eastAsia="Arial" w:hAnsi="Arial"/>
          <w:color w:val="1F1E1E"/>
          <w:sz w:val="22"/>
          <w:szCs w:val="22"/>
        </w:rPr>
        <w:t xml:space="preserve">Planned giving instruments (charitable remainder trusts, gift annuities, pooled income funds)</w:t>
      </w:r>
    </w:p>
    <w:p>
      <w:pPr>
        <w:pStyle w:val="ListParagraph"/>
        <w:numPr>
          <w:ilvl w:val="0"/>
          <w:numId w:val="2"/>
        </w:numPr>
        <w:spacing w:after="40" w:before="40" w:line="300"/>
      </w:pPr>
      <w:r>
        <w:rPr>
          <w:rFonts w:ascii="Arial" w:cs="Arial" w:eastAsia="Arial" w:hAnsi="Arial"/>
          <w:color w:val="1F1E1E"/>
          <w:sz w:val="22"/>
          <w:szCs w:val="22"/>
        </w:rPr>
        <w:t xml:space="preserve">Any gift that may generate negative publicity or raise ethical concerns</w:t>
      </w:r>
    </w:p>
    <w:p>
      <w:pPr>
        <w:keepNext/>
        <w:spacing w:after="120" w:before="240"/>
      </w:pPr>
      <w:r>
        <w:rPr>
          <w:rFonts w:ascii="Arial" w:cs="Arial" w:eastAsia="Arial" w:hAnsi="Arial"/>
          <w:b/>
          <w:bCs/>
          <w:color w:val="3B5937"/>
          <w:sz w:val="22"/>
          <w:szCs w:val="22"/>
        </w:rPr>
        <w:t xml:space="preserve">Real Property Gifts — Due Diligence</w:t>
      </w:r>
    </w:p>
    <w:p>
      <w:pPr>
        <w:spacing w:after="120" w:before="60" w:line="320"/>
        <w:jc w:val="both"/>
      </w:pPr>
      <w:r>
        <w:rPr>
          <w:rFonts w:ascii="Arial" w:cs="Arial" w:eastAsia="Arial" w:hAnsi="Arial"/>
          <w:color w:val="1F1E1E"/>
          <w:sz w:val="22"/>
          <w:szCs w:val="22"/>
        </w:rPr>
        <w:t xml:space="preserve">The Foundation shall not accept any gift of real property (fee-simple, leasehold, mineral interest, conservation easement, or other interest) until:</w:t>
      </w:r>
    </w:p>
    <w:p>
      <w:pPr>
        <w:spacing w:after="120" w:before="60" w:line="320"/>
        <w:jc w:val="both"/>
      </w:pPr>
      <w:r>
        <w:rPr>
          <w:rFonts w:ascii="Arial" w:cs="Arial" w:eastAsia="Arial" w:hAnsi="Arial"/>
          <w:color w:val="1F1E1E"/>
          <w:sz w:val="22"/>
          <w:szCs w:val="22"/>
        </w:rPr>
        <w:t xml:space="preserve">(a) a Phase I Environmental Site Assessment conforming to ASTM E1527-21 has been completed at the donor's expense (or, if the Foundation funds the ESA, the donor has signed a no-contest agreement permitting refusal upon adverse findings), to mitigate CERCLA strict-liability exposure for owners;</w:t>
      </w:r>
    </w:p>
    <w:p>
      <w:pPr>
        <w:spacing w:after="120" w:before="60" w:line="320"/>
        <w:jc w:val="both"/>
      </w:pPr>
      <w:r>
        <w:rPr>
          <w:rFonts w:ascii="Arial" w:cs="Arial" w:eastAsia="Arial" w:hAnsi="Arial"/>
          <w:color w:val="1F1E1E"/>
          <w:sz w:val="22"/>
          <w:szCs w:val="22"/>
        </w:rPr>
        <w:t xml:space="preserve">(b) the Finance Committee has analyzed expected carrying costs (property taxes, insurance, maintenance) over a 10-year horizon and confirmed funding source;</w:t>
      </w:r>
    </w:p>
    <w:p>
      <w:pPr>
        <w:spacing w:after="120" w:before="60" w:line="320"/>
        <w:jc w:val="both"/>
      </w:pPr>
      <w:r>
        <w:rPr>
          <w:rFonts w:ascii="Arial" w:cs="Arial" w:eastAsia="Arial" w:hAnsi="Arial"/>
          <w:color w:val="1F1E1E"/>
          <w:sz w:val="22"/>
          <w:szCs w:val="22"/>
        </w:rPr>
        <w:t xml:space="preserve">(c) title has been examined for clouds, easements, or encumbrances;</w:t>
      </w:r>
    </w:p>
    <w:p>
      <w:pPr>
        <w:spacing w:after="120" w:before="60" w:line="320"/>
        <w:jc w:val="both"/>
      </w:pPr>
      <w:r>
        <w:rPr>
          <w:rFonts w:ascii="Arial" w:cs="Arial" w:eastAsia="Arial" w:hAnsi="Arial"/>
          <w:color w:val="1F1E1E"/>
          <w:sz w:val="22"/>
          <w:szCs w:val="22"/>
        </w:rPr>
        <w:t xml:space="preserve">(d) for conservation easements, the easement complies with Land Trust Alliance Standards &amp; Practices and the underlying property has been baseline-documented; and</w:t>
      </w:r>
    </w:p>
    <w:p>
      <w:pPr>
        <w:spacing w:after="120" w:before="60" w:line="320"/>
        <w:jc w:val="both"/>
      </w:pPr>
      <w:r>
        <w:rPr>
          <w:rFonts w:ascii="Arial" w:cs="Arial" w:eastAsia="Arial" w:hAnsi="Arial"/>
          <w:color w:val="1F1E1E"/>
          <w:sz w:val="22"/>
          <w:szCs w:val="22"/>
        </w:rPr>
        <w:t xml:space="preserve">(e) the Board (or Finance Committee under delegation) has approved acceptance in writing.</w:t>
      </w:r>
    </w:p>
    <w:p>
      <w:pPr>
        <w:keepNext/>
        <w:spacing w:after="160" w:before="360"/>
      </w:pPr>
      <w:r>
        <w:rPr>
          <w:rFonts w:ascii="Arial" w:cs="Arial" w:eastAsia="Arial" w:hAnsi="Arial"/>
          <w:b/>
          <w:bCs/>
          <w:color w:val="561217"/>
          <w:sz w:val="26"/>
          <w:szCs w:val="26"/>
        </w:rPr>
        <w:t xml:space="preserve">Gifts Not Accepted</w:t>
      </w:r>
    </w:p>
    <w:p>
      <w:pPr>
        <w:spacing w:after="120" w:before="60" w:line="320"/>
        <w:jc w:val="both"/>
      </w:pPr>
      <w:r>
        <w:rPr>
          <w:rFonts w:ascii="Arial" w:cs="Arial" w:eastAsia="Arial" w:hAnsi="Arial"/>
          <w:color w:val="1F1E1E"/>
          <w:sz w:val="22"/>
          <w:szCs w:val="22"/>
        </w:rPr>
        <w:t xml:space="preserve">The Foundation shall decline gifts that:</w:t>
      </w:r>
    </w:p>
    <w:p>
      <w:pPr>
        <w:spacing w:after="120" w:before="60" w:line="320"/>
        <w:jc w:val="both"/>
      </w:pPr>
      <w:r>
        <w:rPr>
          <w:rFonts w:ascii="Arial" w:cs="Arial" w:eastAsia="Arial" w:hAnsi="Arial"/>
          <w:color w:val="1F1E1E"/>
          <w:sz w:val="22"/>
          <w:szCs w:val="22"/>
        </w:rPr>
        <w:t xml:space="preserve">(a) violate federal, state, or local law;</w:t>
      </w:r>
    </w:p>
    <w:p>
      <w:pPr>
        <w:spacing w:after="120" w:before="60" w:line="320"/>
        <w:jc w:val="both"/>
      </w:pPr>
      <w:r>
        <w:rPr>
          <w:rFonts w:ascii="Arial" w:cs="Arial" w:eastAsia="Arial" w:hAnsi="Arial"/>
          <w:color w:val="1F1E1E"/>
          <w:sz w:val="22"/>
          <w:szCs w:val="22"/>
        </w:rPr>
        <w:t xml:space="preserve">(b) would jeopardize the Foundation's tax-exempt status;</w:t>
      </w:r>
    </w:p>
    <w:p>
      <w:pPr>
        <w:spacing w:after="120" w:before="60" w:line="320"/>
        <w:jc w:val="both"/>
      </w:pPr>
      <w:r>
        <w:rPr>
          <w:rFonts w:ascii="Arial" w:cs="Arial" w:eastAsia="Arial" w:hAnsi="Arial"/>
          <w:color w:val="1F1E1E"/>
          <w:sz w:val="22"/>
          <w:szCs w:val="22"/>
        </w:rPr>
        <w:t xml:space="preserve">(c) originate from donors known to be under investigation for or convicted of crimes related to the Foundation's mission area;</w:t>
      </w:r>
    </w:p>
    <w:p>
      <w:pPr>
        <w:spacing w:after="120" w:before="60" w:line="320"/>
        <w:jc w:val="both"/>
      </w:pPr>
      <w:r>
        <w:rPr>
          <w:rFonts w:ascii="Arial" w:cs="Arial" w:eastAsia="Arial" w:hAnsi="Arial"/>
          <w:color w:val="1F1E1E"/>
          <w:sz w:val="22"/>
          <w:szCs w:val="22"/>
        </w:rPr>
        <w:t xml:space="preserve">(d) are contingent upon the Foundation taking actions contrary to its mission or governance policies;</w:t>
      </w:r>
    </w:p>
    <w:p>
      <w:pPr>
        <w:spacing w:after="120" w:before="60" w:line="320"/>
        <w:jc w:val="both"/>
      </w:pPr>
      <w:r>
        <w:rPr>
          <w:rFonts w:ascii="Arial" w:cs="Arial" w:eastAsia="Arial" w:hAnsi="Arial"/>
          <w:color w:val="1F1E1E"/>
          <w:sz w:val="22"/>
          <w:szCs w:val="22"/>
        </w:rPr>
        <w:t xml:space="preserve">(e) constitute anonymous gifts of $10,000 or more from a single donor in a 12-month period, unless the donor's identity is verified to the Treasurer under confidentiality covenants and the gift is screened against OFAC lists;</w:t>
      </w:r>
    </w:p>
    <w:p>
      <w:pPr>
        <w:spacing w:after="120" w:before="60" w:line="320"/>
        <w:jc w:val="both"/>
      </w:pPr>
      <w:r>
        <w:rPr>
          <w:rFonts w:ascii="Arial" w:cs="Arial" w:eastAsia="Arial" w:hAnsi="Arial"/>
          <w:color w:val="1F1E1E"/>
          <w:sz w:val="22"/>
          <w:szCs w:val="22"/>
        </w:rPr>
        <w:t xml:space="preserve">(f) originate from any foreign government or instrumentality thereof, where acceptance would trigger registration under the Foreign Agents Registration Act (FARA) or where the gift carries terms inconsistent with the Foundation's independence;</w:t>
      </w:r>
    </w:p>
    <w:p>
      <w:pPr>
        <w:spacing w:after="120" w:before="60" w:line="320"/>
        <w:jc w:val="both"/>
      </w:pPr>
      <w:r>
        <w:rPr>
          <w:rFonts w:ascii="Arial" w:cs="Arial" w:eastAsia="Arial" w:hAnsi="Arial"/>
          <w:color w:val="1F1E1E"/>
          <w:sz w:val="22"/>
          <w:szCs w:val="22"/>
        </w:rPr>
        <w:t xml:space="preserve">(g) are conditioned upon the Foundation taking specific positions on legislation or political campaigns, beyond what is permissible under IRC § 501(h) and Holon Foundation Policy No. 19 (Lobbying and Advocacy Compliance Policy).</w:t>
      </w:r>
    </w:p>
    <w:p>
      <w:pPr>
        <w:keepNext/>
        <w:spacing w:after="160" w:before="360"/>
      </w:pPr>
      <w:r>
        <w:rPr>
          <w:rFonts w:ascii="Arial" w:cs="Arial" w:eastAsia="Arial" w:hAnsi="Arial"/>
          <w:b/>
          <w:bCs/>
          <w:color w:val="561217"/>
          <w:sz w:val="26"/>
          <w:szCs w:val="26"/>
        </w:rPr>
        <w:t xml:space="preserve">IRS Substantiation Requirements</w:t>
      </w:r>
    </w:p>
    <w:p>
      <w:pPr>
        <w:spacing w:after="120" w:before="60" w:line="320"/>
        <w:jc w:val="both"/>
      </w:pPr>
      <w:r>
        <w:rPr>
          <w:rFonts w:ascii="Arial" w:cs="Arial" w:eastAsia="Arial" w:hAnsi="Arial"/>
          <w:color w:val="1F1E1E"/>
          <w:sz w:val="22"/>
          <w:szCs w:val="22"/>
        </w:rPr>
        <w:t xml:space="preserve">The Foundation shall:</w:t>
      </w:r>
    </w:p>
    <w:p>
      <w:pPr>
        <w:spacing w:after="120" w:before="60" w:line="320"/>
        <w:jc w:val="both"/>
      </w:pPr>
      <w:r>
        <w:rPr>
          <w:rFonts w:ascii="Arial" w:cs="Arial" w:eastAsia="Arial" w:hAnsi="Arial"/>
          <w:color w:val="1F1E1E"/>
          <w:sz w:val="22"/>
          <w:szCs w:val="22"/>
        </w:rPr>
        <w:t xml:space="preserve">(a) </w:t>
      </w:r>
      <w:r>
        <w:rPr>
          <w:rFonts w:ascii="Arial" w:cs="Arial" w:eastAsia="Arial" w:hAnsi="Arial"/>
          <w:b/>
          <w:bCs/>
          <w:color w:val="1F1E1E"/>
          <w:sz w:val="22"/>
          <w:szCs w:val="22"/>
        </w:rPr>
        <w:t xml:space="preserve">Contemporaneous Written Acknowledgment (CWA).</w:t>
      </w:r>
      <w:r>
        <w:rPr>
          <w:rFonts w:ascii="Arial" w:cs="Arial" w:eastAsia="Arial" w:hAnsi="Arial"/>
          <w:color w:val="1F1E1E"/>
          <w:sz w:val="22"/>
          <w:szCs w:val="22"/>
        </w:rPr>
        <w:t xml:space="preserve"> Provide written acknowledgment for each contribution of $250 or more, including donor name, contribution date and amount (for cash) or description (for noncash), and a statement of whether goods or services were provided in return (and if so, a good-faith estimate of their value), in compliance with IRC § 170(f)(8).</w:t>
      </w:r>
    </w:p>
    <w:p>
      <w:pPr>
        <w:spacing w:after="120" w:before="60" w:line="320"/>
        <w:jc w:val="both"/>
      </w:pPr>
      <w:r>
        <w:rPr>
          <w:rFonts w:ascii="Arial" w:cs="Arial" w:eastAsia="Arial" w:hAnsi="Arial"/>
          <w:color w:val="1F1E1E"/>
          <w:sz w:val="22"/>
          <w:szCs w:val="22"/>
        </w:rPr>
        <w:t xml:space="preserve">(b) </w:t>
      </w:r>
      <w:r>
        <w:rPr>
          <w:rFonts w:ascii="Arial" w:cs="Arial" w:eastAsia="Arial" w:hAnsi="Arial"/>
          <w:b/>
          <w:bCs/>
          <w:color w:val="1F1E1E"/>
          <w:sz w:val="22"/>
          <w:szCs w:val="22"/>
        </w:rPr>
        <w:t xml:space="preserve">Quid Pro Quo Disclosure.</w:t>
      </w:r>
      <w:r>
        <w:rPr>
          <w:rFonts w:ascii="Arial" w:cs="Arial" w:eastAsia="Arial" w:hAnsi="Arial"/>
          <w:color w:val="1F1E1E"/>
          <w:sz w:val="22"/>
          <w:szCs w:val="22"/>
        </w:rPr>
        <w:t xml:space="preserve"> Provide written disclosure for any contribution exceeding $75 where the donor receives goods or services in return, stating that the deductible amount is limited to the excess of the contribution over the fair market value of the goods/services received, in compliance with IRC § 6115.</w:t>
      </w:r>
    </w:p>
    <w:p>
      <w:pPr>
        <w:spacing w:after="120" w:before="60" w:line="320"/>
        <w:jc w:val="both"/>
      </w:pPr>
      <w:r>
        <w:rPr>
          <w:rFonts w:ascii="Arial" w:cs="Arial" w:eastAsia="Arial" w:hAnsi="Arial"/>
          <w:color w:val="1F1E1E"/>
          <w:sz w:val="22"/>
          <w:szCs w:val="22"/>
        </w:rPr>
        <w:t xml:space="preserve">(c) </w:t>
      </w:r>
      <w:r>
        <w:rPr>
          <w:rFonts w:ascii="Arial" w:cs="Arial" w:eastAsia="Arial" w:hAnsi="Arial"/>
          <w:b/>
          <w:bCs/>
          <w:color w:val="1F1E1E"/>
          <w:sz w:val="22"/>
          <w:szCs w:val="22"/>
        </w:rPr>
        <w:t xml:space="preserve">Form 8283 Acknowledgment.</w:t>
      </w:r>
      <w:r>
        <w:rPr>
          <w:rFonts w:ascii="Arial" w:cs="Arial" w:eastAsia="Arial" w:hAnsi="Arial"/>
          <w:color w:val="1F1E1E"/>
          <w:sz w:val="22"/>
          <w:szCs w:val="22"/>
        </w:rPr>
        <w:t xml:space="preserve"> Acknowledge IRS Form 8283 (Noncash Charitable Contributions) for any noncash gift exceeding $500, signing the donee acknowledgment in Section B for gifts exceeding $5,000. The Foundation's signature on Form 8283 Section B acknowledges only receipt of the described noncash property; it is not, and shall not be represented as, an agreement with or endorsement of the donor's claimed valuation.</w:t>
      </w:r>
    </w:p>
    <w:p>
      <w:pPr>
        <w:spacing w:after="120" w:before="60" w:line="320"/>
        <w:jc w:val="both"/>
      </w:pPr>
      <w:r>
        <w:rPr>
          <w:rFonts w:ascii="Arial" w:cs="Arial" w:eastAsia="Arial" w:hAnsi="Arial"/>
          <w:color w:val="1F1E1E"/>
          <w:sz w:val="22"/>
          <w:szCs w:val="22"/>
        </w:rPr>
        <w:t xml:space="preserve">(d) </w:t>
      </w:r>
      <w:r>
        <w:rPr>
          <w:rFonts w:ascii="Arial" w:cs="Arial" w:eastAsia="Arial" w:hAnsi="Arial"/>
          <w:b/>
          <w:bCs/>
          <w:color w:val="1F1E1E"/>
          <w:sz w:val="22"/>
          <w:szCs w:val="22"/>
        </w:rPr>
        <w:t xml:space="preserve">Form 8282 Filing.</w:t>
      </w:r>
      <w:r>
        <w:rPr>
          <w:rFonts w:ascii="Arial" w:cs="Arial" w:eastAsia="Arial" w:hAnsi="Arial"/>
          <w:color w:val="1F1E1E"/>
          <w:sz w:val="22"/>
          <w:szCs w:val="22"/>
        </w:rPr>
        <w:t xml:space="preserve"> File IRS Form 8282 (Donee Information Return) within 125 days of disposition of any donated noncash property that was subject to a Form 8283 Section B, if disposition occurs within 3 years of the contribution date.</w:t>
      </w:r>
    </w:p>
    <w:p>
      <w:pPr>
        <w:spacing w:after="120" w:before="60" w:line="320"/>
        <w:jc w:val="both"/>
      </w:pPr>
      <w:r>
        <w:rPr>
          <w:rFonts w:ascii="Arial" w:cs="Arial" w:eastAsia="Arial" w:hAnsi="Arial"/>
          <w:color w:val="1F1E1E"/>
          <w:sz w:val="22"/>
          <w:szCs w:val="22"/>
        </w:rPr>
        <w:t xml:space="preserve">(e) </w:t>
      </w:r>
      <w:r>
        <w:rPr>
          <w:rFonts w:ascii="Arial" w:cs="Arial" w:eastAsia="Arial" w:hAnsi="Arial"/>
          <w:b/>
          <w:bCs/>
          <w:color w:val="1F1E1E"/>
          <w:sz w:val="22"/>
          <w:szCs w:val="22"/>
        </w:rPr>
        <w:t xml:space="preserve">Qualified Appraisal Notice.</w:t>
      </w:r>
      <w:r>
        <w:rPr>
          <w:rFonts w:ascii="Arial" w:cs="Arial" w:eastAsia="Arial" w:hAnsi="Arial"/>
          <w:color w:val="1F1E1E"/>
          <w:sz w:val="22"/>
          <w:szCs w:val="22"/>
        </w:rPr>
        <w:t xml:space="preserve"> For noncash gifts valued by the donor at more than $5,000, donors must obtain a qualified appraisal in compliance with IRC § 170(f)(11) and Treas. Reg. § 1.170A-13(c) at the donor's expense, and shall provide the Foundation with a copy of the appraisal summary for retention in the donor file.</w:t>
      </w:r>
    </w:p>
    <w:p>
      <w:pPr>
        <w:keepNext/>
        <w:spacing w:after="160" w:before="360"/>
      </w:pPr>
      <w:r>
        <w:rPr>
          <w:rFonts w:ascii="Arial" w:cs="Arial" w:eastAsia="Arial" w:hAnsi="Arial"/>
          <w:b/>
          <w:bCs/>
          <w:color w:val="561217"/>
          <w:sz w:val="26"/>
          <w:szCs w:val="26"/>
        </w:rPr>
        <w:t xml:space="preserve">Acknowledgment and Stewardship</w:t>
      </w:r>
    </w:p>
    <w:p>
      <w:pPr>
        <w:pStyle w:val="ListParagraph"/>
        <w:numPr>
          <w:ilvl w:val="0"/>
          <w:numId w:val="2"/>
        </w:numPr>
        <w:spacing w:after="40" w:before="40" w:line="300"/>
      </w:pPr>
      <w:r>
        <w:rPr>
          <w:rFonts w:ascii="Arial" w:cs="Arial" w:eastAsia="Arial" w:hAnsi="Arial"/>
          <w:color w:val="1F1E1E"/>
          <w:sz w:val="22"/>
          <w:szCs w:val="22"/>
        </w:rPr>
        <w:t xml:space="preserve">All gifts will be acknowledged in writing within 10 business days of receipt.</w:t>
      </w:r>
    </w:p>
    <w:p>
      <w:pPr>
        <w:pStyle w:val="ListParagraph"/>
        <w:numPr>
          <w:ilvl w:val="0"/>
          <w:numId w:val="2"/>
        </w:numPr>
        <w:spacing w:after="40" w:before="40" w:line="300"/>
      </w:pPr>
      <w:r>
        <w:rPr>
          <w:rFonts w:ascii="Arial" w:cs="Arial" w:eastAsia="Arial" w:hAnsi="Arial"/>
          <w:color w:val="1F1E1E"/>
          <w:sz w:val="22"/>
          <w:szCs w:val="22"/>
        </w:rPr>
        <w:t xml:space="preserve">Gift acknowledgments will comply with the IRS Substantiation Requirements section above.</w:t>
      </w:r>
    </w:p>
    <w:p>
      <w:pPr>
        <w:pStyle w:val="ListParagraph"/>
        <w:numPr>
          <w:ilvl w:val="0"/>
          <w:numId w:val="2"/>
        </w:numPr>
        <w:spacing w:after="40" w:before="40" w:line="300"/>
      </w:pPr>
      <w:r>
        <w:rPr>
          <w:rFonts w:ascii="Arial" w:cs="Arial" w:eastAsia="Arial" w:hAnsi="Arial"/>
          <w:color w:val="1F1E1E"/>
          <w:sz w:val="22"/>
          <w:szCs w:val="22"/>
        </w:rPr>
        <w:t xml:space="preserve">Holon Foundation does not provide valuations for non-cash gifts; donors are responsible for obtaining independent appraisals (see § (e) above).</w:t>
      </w:r>
    </w:p>
    <w:p>
      <w:pPr>
        <w:pStyle w:val="ListParagraph"/>
        <w:numPr>
          <w:ilvl w:val="0"/>
          <w:numId w:val="2"/>
        </w:numPr>
        <w:spacing w:after="40" w:before="40" w:line="300"/>
      </w:pPr>
      <w:r>
        <w:rPr>
          <w:rFonts w:ascii="Arial" w:cs="Arial" w:eastAsia="Arial" w:hAnsi="Arial"/>
          <w:color w:val="1F1E1E"/>
          <w:sz w:val="22"/>
          <w:szCs w:val="22"/>
        </w:rPr>
        <w:t xml:space="preserve">Donors will be recognized in accordance with their stated preferences (public recognition or anonymity), consistent with Policy No. 15.</w:t>
      </w:r>
    </w:p>
    <w:p>
      <w:pPr>
        <w:keepNext/>
        <w:spacing w:after="160" w:before="360"/>
      </w:pPr>
      <w:r>
        <w:rPr>
          <w:rFonts w:ascii="Arial" w:cs="Arial" w:eastAsia="Arial" w:hAnsi="Arial"/>
          <w:b/>
          <w:bCs/>
          <w:color w:val="561217"/>
          <w:sz w:val="26"/>
          <w:szCs w:val="26"/>
        </w:rPr>
        <w:t xml:space="preserve">Policy Review</w:t>
      </w:r>
    </w:p>
    <w:p>
      <w:pPr>
        <w:spacing w:after="120" w:before="60" w:line="320"/>
        <w:jc w:val="both"/>
      </w:pPr>
      <w:r>
        <w:rPr>
          <w:rFonts w:ascii="Arial" w:cs="Arial" w:eastAsia="Arial" w:hAnsi="Arial"/>
          <w:color w:val="1F1E1E"/>
          <w:sz w:val="22"/>
          <w:szCs w:val="22"/>
        </w:rPr>
        <w:t xml:space="preserve">This policy shall be reviewed annually by the Finance Committee and updated as needed. Amendments require board approval.</w:t>
      </w:r>
    </w:p>
    <w:sectPr>
      <w:headerReference w:type="default" r:id="rId7"/>
      <w:headerReference w:type="first" r:id="rId8"/>
      <w:footerReference w:type="default" r:id="rId9"/>
      <w:footerReference w:type="first" r:id="rId10"/>
      <w:pgSz w:w="12240" w:h="15840" w:orient="portrait"/>
      <w:pgMar w:top="1080" w:right="1080" w:bottom="1080" w:left="108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D" w:sz="4" w:space="4"/>
      </w:pBdr>
      <w:tabs>
        <w:tab w:val="center" w:pos="4680"/>
        <w:tab w:val="right" w:pos="9360"/>
      </w:tabs>
      <w:spacing w:after="0" w:before="80"/>
      <w:jc w:val="center"/>
    </w:pPr>
    <w:r>
      <w:rPr>
        <w:rFonts w:ascii="Arial" w:cs="Arial" w:eastAsia="Arial" w:hAnsi="Arial"/>
        <w:color w:val="4A4A4A"/>
        <w:sz w:val="14"/>
        <w:szCs w:val="14"/>
      </w:rPr>
      <w:t xml:space="preserve">Holon Foundation</w:t>
    </w:r>
    <w:r>
      <w:rPr>
        <w:rFonts w:ascii="Arial" w:cs="Arial" w:eastAsia="Arial" w:hAnsi="Arial"/>
        <w:sz w:val="14"/>
        <w:szCs w:val="14"/>
      </w:rPr>
      <w:t xml:space="preserve">	</w:t>
    </w:r>
    <w:r>
      <w:rPr>
        <w:rFonts w:ascii="Arial" w:cs="Arial" w:eastAsia="Arial" w:hAnsi="Arial"/>
        <w:color w:val="4A4A4A"/>
        <w:sz w:val="14"/>
        <w:szCs w:val="14"/>
      </w:rPr>
      <w:t xml:space="preserve">Policy No. 07  ·  Version 2.0</w:t>
    </w:r>
    <w:r>
      <w:rPr>
        <w:rFonts w:ascii="Arial" w:cs="Arial" w:eastAsia="Arial" w:hAnsi="Arial"/>
        <w:sz w:val="14"/>
        <w:szCs w:val="14"/>
      </w:rPr>
      <w:t xml:space="preserve">	</w:t>
    </w:r>
    <w:r>
      <w:rPr>
        <w:rFonts w:ascii="Arial" w:cs="Arial" w:eastAsia="Arial" w:hAnsi="Arial"/>
        <w:color w:val="4A4A4A"/>
        <w:sz w:val="14"/>
        <w:szCs w:val="14"/>
      </w:rPr>
      <w:t xml:space="preserve">Page </w:t>
    </w:r>
    <w:r>
      <w:rPr>
        <w:rFonts w:ascii="Arial" w:cs="Arial" w:eastAsia="Arial" w:hAnsi="Arial"/>
        <w:color w:val="4A4A4A"/>
        <w:sz w:val="14"/>
        <w:szCs w:val="14"/>
      </w:rPr>
      <w:fldChar w:fldCharType="begin"/>
      <w:instrText xml:space="preserve">PAGE</w:instrText>
      <w:fldChar w:fldCharType="separate"/>
      <w:fldChar w:fldCharType="end"/>
    </w:r>
    <w:r>
      <w:rPr>
        <w:rFonts w:ascii="Arial" w:cs="Arial" w:eastAsia="Arial" w:hAnsi="Arial"/>
        <w:color w:val="4A4A4A"/>
        <w:sz w:val="14"/>
        <w:szCs w:val="14"/>
      </w:rPr>
      <w:t xml:space="preserve"> of </w:t>
    </w:r>
    <w:r>
      <w:rPr>
        <w:rFonts w:ascii="Arial" w:cs="Arial" w:eastAsia="Arial" w:hAnsi="Arial"/>
        <w:color w:val="4A4A4A"/>
        <w:sz w:val="14"/>
        <w:szCs w:val="14"/>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D" w:sz="4" w:space="4"/>
      </w:pBdr>
      <w:spacing w:after="80" w:before="0"/>
      <w:jc w:val="left"/>
    </w:pPr>
    <w:r>
      <w:rPr>
        <w:rFonts w:ascii="Arial" w:cs="Arial" w:eastAsia="Arial" w:hAnsi="Arial"/>
        <w:b/>
        <w:bCs/>
        <w:color w:val="561217"/>
        <w:spacing w:val="30"/>
        <w:sz w:val="14"/>
        <w:szCs w:val="14"/>
      </w:rPr>
      <w:t xml:space="preserve">HOLON FOUNDATION  ·  POLICY NO. 07  ·  GIFT ACCEPTANCE POLICY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Arial" w:cs="Arial" w:eastAsia="Arial" w:hAnsi="Arial"/>
        <w:color w:val="561217"/>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E1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 Acceptance Policy</dc:title>
  <dc:creator>Holon Foundation</dc:creator>
  <dc:description>Holon Foundation — Policy No. 07</dc:description>
  <cp:lastModifiedBy>Un-named</cp:lastModifiedBy>
  <cp:revision>1</cp:revision>
  <dcterms:created xsi:type="dcterms:W3CDTF">2026-05-21T02:41:41.315Z</dcterms:created>
  <dcterms:modified xsi:type="dcterms:W3CDTF">2026-05-21T02:41:41.315Z</dcterms:modified>
</cp:coreProperties>
</file>

<file path=docProps/custom.xml><?xml version="1.0" encoding="utf-8"?>
<Properties xmlns="http://schemas.openxmlformats.org/officeDocument/2006/custom-properties" xmlns:vt="http://schemas.openxmlformats.org/officeDocument/2006/docPropsVTypes"/>
</file>