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06</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Document Retention and Destruction Policy</w:t>
      </w:r>
    </w:p>
    <w:p>
      <w:pPr>
        <w:spacing w:after="0" w:before="0"/>
        <w:jc w:val="center"/>
      </w:pPr>
      <w:r>
        <w:rPr>
          <w:rFonts w:ascii="Arial" w:cs="Arial" w:eastAsia="Arial" w:hAnsi="Arial"/>
          <w:i/>
          <w:iCs/>
          <w:color w:val="4A4A4A"/>
          <w:sz w:val="20"/>
          <w:szCs w:val="20"/>
        </w:rPr>
        <w:t xml:space="preserve">Holon Foundation — Policy No. 06</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Legal Foundation paragraph invoking SOX § 802 (18 U.S.C. § 1519), IRS Pub. 4221-PC, and TBOC §§ 22.351–22.354.</w:t>
      </w:r>
    </w:p>
    <w:p>
      <w:pPr>
        <w:pStyle w:val="ListParagraph"/>
        <w:numPr>
          <w:ilvl w:val="0"/>
          <w:numId w:val="2"/>
        </w:numPr>
        <w:spacing w:after="40" w:before="40" w:line="300"/>
      </w:pPr>
      <w:r>
        <w:rPr>
          <w:rFonts w:ascii="Arial" w:cs="Arial" w:eastAsia="Arial" w:hAnsi="Arial"/>
          <w:color w:val="1F1E1E"/>
          <w:sz w:val="22"/>
          <w:szCs w:val="22"/>
        </w:rPr>
        <w:t xml:space="preserve">Replaced flat "Donor records and acknowledgments | 7 years" with three subcategories aligned to IRS Pub. 1771, GDPR Article 5(1)(e), and EU donor erasure rights.</w:t>
      </w:r>
    </w:p>
    <w:p>
      <w:pPr>
        <w:pStyle w:val="ListParagraph"/>
        <w:numPr>
          <w:ilvl w:val="0"/>
          <w:numId w:val="2"/>
        </w:numPr>
        <w:spacing w:after="40" w:before="40" w:line="300"/>
      </w:pPr>
      <w:r>
        <w:rPr>
          <w:rFonts w:ascii="Arial" w:cs="Arial" w:eastAsia="Arial" w:hAnsi="Arial"/>
          <w:color w:val="1F1E1E"/>
          <w:sz w:val="22"/>
          <w:szCs w:val="22"/>
        </w:rPr>
        <w:t xml:space="preserve">Replaced flat "Employment records | 7 years after separation" with FLSA, EEOC, OSHA (30-year medical), I-9, ERISA, and Texas workers' compensation subcategory schedule.</w:t>
      </w:r>
    </w:p>
    <w:p>
      <w:pPr>
        <w:pStyle w:val="ListParagraph"/>
        <w:numPr>
          <w:ilvl w:val="0"/>
          <w:numId w:val="2"/>
        </w:numPr>
        <w:spacing w:after="40" w:before="40" w:line="300"/>
      </w:pPr>
      <w:r>
        <w:rPr>
          <w:rFonts w:ascii="Arial" w:cs="Arial" w:eastAsia="Arial" w:hAnsi="Arial"/>
          <w:color w:val="1F1E1E"/>
          <w:sz w:val="22"/>
          <w:szCs w:val="22"/>
        </w:rPr>
        <w:t xml:space="preserve">Added Destruction Procedures detail: NIST SP 800-88 electronic sanitization, NAID AAA / P-4 paper shredding, dual-signature destruction log retained permanently.</w:t>
      </w:r>
    </w:p>
    <w:p>
      <w:pPr>
        <w:pStyle w:val="ListParagraph"/>
        <w:numPr>
          <w:ilvl w:val="0"/>
          <w:numId w:val="2"/>
        </w:numPr>
        <w:spacing w:after="40" w:before="40" w:line="300"/>
      </w:pPr>
      <w:r>
        <w:rPr>
          <w:rFonts w:ascii="Arial" w:cs="Arial" w:eastAsia="Arial" w:hAnsi="Arial"/>
          <w:color w:val="1F1E1E"/>
          <w:sz w:val="22"/>
          <w:szCs w:val="22"/>
        </w:rPr>
        <w:t xml:space="preserve">Expanded Litigation Hold to address Electronically Stored Information (ESI) per Fed. R. Civ. P. 37(e), with explicit cloud / SaaS provider coordination and Litigation Hold Register.</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establishes guidelines for the retention and destruction of Holon Foundation's documents and records. It ensures compliance with legal and regulatory requirements, supports organizational accountability, and protects the Foundation during audits and legal proceedings.</w:t>
      </w:r>
    </w:p>
    <w:p>
      <w:pPr>
        <w:keepNext/>
        <w:spacing w:after="160" w:before="360"/>
      </w:pPr>
      <w:r>
        <w:rPr>
          <w:rFonts w:ascii="Arial" w:cs="Arial" w:eastAsia="Arial" w:hAnsi="Arial"/>
          <w:b/>
          <w:bCs/>
          <w:color w:val="561217"/>
          <w:sz w:val="26"/>
          <w:szCs w:val="26"/>
        </w:rPr>
        <w:t xml:space="preserve">Legal Foundation</w:t>
      </w:r>
    </w:p>
    <w:p>
      <w:pPr>
        <w:spacing w:after="120" w:before="60" w:line="320"/>
        <w:jc w:val="both"/>
      </w:pPr>
      <w:r>
        <w:rPr>
          <w:rFonts w:ascii="Arial" w:cs="Arial" w:eastAsia="Arial" w:hAnsi="Arial"/>
          <w:color w:val="1F1E1E"/>
          <w:sz w:val="22"/>
          <w:szCs w:val="22"/>
        </w:rPr>
        <w:t xml:space="preserve">This Policy is adopted in compliance with:</w:t>
      </w:r>
    </w:p>
    <w:p>
      <w:pPr>
        <w:spacing w:after="120" w:before="60" w:line="320"/>
        <w:jc w:val="both"/>
      </w:pPr>
      <w:r>
        <w:rPr>
          <w:rFonts w:ascii="Arial" w:cs="Arial" w:eastAsia="Arial" w:hAnsi="Arial"/>
          <w:color w:val="1F1E1E"/>
          <w:sz w:val="22"/>
          <w:szCs w:val="22"/>
        </w:rPr>
        <w:t xml:space="preserve">(i) Section 802 of the Sarbanes-Oxley Act of 2002 (18 U.S.C. § 1519), which makes it a federal crime to alter, destroy, mutilate, or conceal a record with intent to impede or influence a federal investigation;</w:t>
      </w:r>
    </w:p>
    <w:p>
      <w:pPr>
        <w:spacing w:after="120" w:before="60" w:line="320"/>
        <w:jc w:val="both"/>
      </w:pPr>
      <w:r>
        <w:rPr>
          <w:rFonts w:ascii="Arial" w:cs="Arial" w:eastAsia="Arial" w:hAnsi="Arial"/>
          <w:color w:val="1F1E1E"/>
          <w:sz w:val="22"/>
          <w:szCs w:val="22"/>
        </w:rPr>
        <w:t xml:space="preserve">(ii) Internal Revenue Code requirements applicable to organizations exempt under § 501(c)(3), including those summarized in IRS Publication 4221-PC and IRS Publication 1771 (Charitable Contributions — Substantiation);</w:t>
      </w:r>
    </w:p>
    <w:p>
      <w:pPr>
        <w:spacing w:after="120" w:before="60" w:line="320"/>
        <w:jc w:val="both"/>
      </w:pPr>
      <w:r>
        <w:rPr>
          <w:rFonts w:ascii="Arial" w:cs="Arial" w:eastAsia="Arial" w:hAnsi="Arial"/>
          <w:color w:val="1F1E1E"/>
          <w:sz w:val="22"/>
          <w:szCs w:val="22"/>
        </w:rPr>
        <w:t xml:space="preserve">(iii) applicable Texas statutes governing nonprofit corporation records, including Texas Business Organizations Code §§ 22.351–22.354;</w:t>
      </w:r>
    </w:p>
    <w:p>
      <w:pPr>
        <w:spacing w:after="120" w:before="60" w:line="320"/>
        <w:jc w:val="both"/>
      </w:pPr>
      <w:r>
        <w:rPr>
          <w:rFonts w:ascii="Arial" w:cs="Arial" w:eastAsia="Arial" w:hAnsi="Arial"/>
          <w:color w:val="1F1E1E"/>
          <w:sz w:val="22"/>
          <w:szCs w:val="22"/>
        </w:rPr>
        <w:t xml:space="preserve">(iv) labor and benefits records-retention obligations under FLSA, EEOC, OSHA, I-9, and ERISA; and</w:t>
      </w:r>
    </w:p>
    <w:p>
      <w:pPr>
        <w:spacing w:after="120" w:before="60" w:line="320"/>
        <w:jc w:val="both"/>
      </w:pPr>
      <w:r>
        <w:rPr>
          <w:rFonts w:ascii="Arial" w:cs="Arial" w:eastAsia="Arial" w:hAnsi="Arial"/>
          <w:color w:val="1F1E1E"/>
          <w:sz w:val="22"/>
          <w:szCs w:val="22"/>
        </w:rPr>
        <w:t xml:space="preserve">(v) records-retention obligations imposed by grant agreements, contracts, and donor restrictions.</w:t>
      </w:r>
    </w:p>
    <w:p>
      <w:pPr>
        <w:spacing w:after="120" w:before="60" w:line="320"/>
        <w:jc w:val="both"/>
      </w:pPr>
      <w:r>
        <w:rPr>
          <w:rFonts w:ascii="Arial" w:cs="Arial" w:eastAsia="Arial" w:hAnsi="Arial"/>
          <w:color w:val="1F1E1E"/>
          <w:sz w:val="22"/>
          <w:szCs w:val="22"/>
        </w:rPr>
        <w:t xml:space="preserve">Form 990, Part VI, Line 14, of the Foundation's annual return shall reflect adoption of this Policy.</w:t>
      </w:r>
    </w:p>
    <w:p>
      <w:pPr>
        <w:keepNext/>
        <w:spacing w:after="160" w:before="360"/>
      </w:pPr>
      <w:r>
        <w:rPr>
          <w:rFonts w:ascii="Arial" w:cs="Arial" w:eastAsia="Arial" w:hAnsi="Arial"/>
          <w:b/>
          <w:bCs/>
          <w:color w:val="561217"/>
          <w:sz w:val="26"/>
          <w:szCs w:val="26"/>
        </w:rPr>
        <w:t xml:space="preserve">Scope</w:t>
      </w:r>
    </w:p>
    <w:p>
      <w:pPr>
        <w:spacing w:after="120" w:before="60" w:line="320"/>
        <w:jc w:val="both"/>
      </w:pPr>
      <w:r>
        <w:rPr>
          <w:rFonts w:ascii="Arial" w:cs="Arial" w:eastAsia="Arial" w:hAnsi="Arial"/>
          <w:color w:val="1F1E1E"/>
          <w:sz w:val="22"/>
          <w:szCs w:val="22"/>
        </w:rPr>
        <w:t xml:space="preserve">This policy applies to all documents and records created, received, or maintained by Holon Foundation, regardless of format (paper, electronic, email, or other media).</w:t>
      </w:r>
    </w:p>
    <w:p>
      <w:pPr>
        <w:keepNext/>
        <w:spacing w:after="160" w:before="360"/>
      </w:pPr>
      <w:r>
        <w:rPr>
          <w:rFonts w:ascii="Arial" w:cs="Arial" w:eastAsia="Arial" w:hAnsi="Arial"/>
          <w:b/>
          <w:bCs/>
          <w:color w:val="561217"/>
          <w:sz w:val="26"/>
          <w:szCs w:val="26"/>
        </w:rPr>
        <w:t xml:space="preserve">Retention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Document Category</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Retention Period</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Notes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Articles of Incorporation / Bylaws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Maintain current and all historical versions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Board meeting minutes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Include all resolutions and voting records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Tax-exempt determination letter (IRS)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501(c)(3) determination and related correspondence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Annual financial statements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Audited statements; include management letters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Form 990 tax returns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Retain all schedules and attachments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Audit reports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External audit reports and management responses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General ledger</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Annual general ledger and chart of accounts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Bank statements and reconciliations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All accounts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Accounts payable/receivable records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Invoices, receipts, payment records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Grant agreements and reports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 after grant closure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Include all compliance documentation</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Donor records — tax-substantiation</w:t>
            </w:r>
            <w:r>
              <w:rPr>
                <w:rFonts w:ascii="Arial" w:cs="Arial" w:eastAsia="Arial" w:hAnsi="Arial"/>
                <w:b w:val="false"/>
                <w:bCs w:val="false"/>
                <w:color w:val="1F1E1E"/>
                <w:sz w:val="20"/>
                <w:szCs w:val="20"/>
              </w:rPr>
              <w:t xml:space="preserve"> (gift receipts, acknowledgment letters, contribution records, written disclosures of quid pro quo contributions)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 from end of tax year</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IRS Pub. 1771</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Donor records — identifying and contact information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Retained only for the period necessary to fulfill the original purpose of collection, plus 3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After which records are either deleted or anonymized</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Donor records — recognition consent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Life of the recognition program plus 3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Named-recognition opt-ins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EU / UK resident donors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Erasure honored within 30 days where the legal basis for retention has expired</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Tax-substantiation records preserved per IRS rules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payroll records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3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FLSA, 29 C.F.R. § 516.5</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payroll supporting documents</w:t>
            </w:r>
            <w:r>
              <w:rPr>
                <w:rFonts w:ascii="Arial" w:cs="Arial" w:eastAsia="Arial" w:hAnsi="Arial"/>
                <w:b w:val="false"/>
                <w:bCs w:val="false"/>
                <w:color w:val="1F1E1E"/>
                <w:sz w:val="20"/>
                <w:szCs w:val="20"/>
              </w:rPr>
              <w:t xml:space="preserve"> (timecards, schedules)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29 C.F.R. § 516.6</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personnel files</w:t>
            </w:r>
            <w:r>
              <w:rPr>
                <w:rFonts w:ascii="Arial" w:cs="Arial" w:eastAsia="Arial" w:hAnsi="Arial"/>
                <w:b w:val="false"/>
                <w:bCs w:val="false"/>
                <w:color w:val="1F1E1E"/>
                <w:sz w:val="20"/>
                <w:szCs w:val="20"/>
              </w:rPr>
              <w:t xml:space="preserve"> (hiring, performance, disciplinary)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 after separation; at least 1 year after personnel action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29 C.F.R. § 1602.14</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I-9 forms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3 years after hire OR 1 year after termination, whichever is later</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8 C.F.R. § 274a.2</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OSHA medical / exposure records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30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29 C.F.R. § 1910.1020(d)</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ERISA-covered benefit plan records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6 years from filing date of related Form 5500</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29 U.S.C. § 1027</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bCs/>
                <w:color w:val="1F1E1E"/>
                <w:sz w:val="20"/>
                <w:szCs w:val="20"/>
              </w:rPr>
              <w:t xml:space="preserve">Employment — Texas workers' compensation injury records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As required under Texas Labor Code § 411.066</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Insurance policies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All active and expired policies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Contracts and leases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 after expiration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Signed agreements and amendments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Conflict of interest disclosures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Annual disclosure forms and related records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Whistleblower reports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7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Investigation records and outcomes; see Policy No. 05</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Governance policies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Current and all historical versions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Strategic plans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Permanent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All versions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Correspondence (general)</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3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Routine correspondence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Email (general business)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3 years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Except as covered by other categories</w:t>
            </w:r>
          </w:p>
        </w:tc>
      </w:tr>
    </w:tbl>
    <w:p>
      <w:pPr>
        <w:keepNext/>
        <w:spacing w:after="160" w:before="360"/>
      </w:pPr>
      <w:r>
        <w:rPr>
          <w:rFonts w:ascii="Arial" w:cs="Arial" w:eastAsia="Arial" w:hAnsi="Arial"/>
          <w:b/>
          <w:bCs/>
          <w:color w:val="561217"/>
          <w:sz w:val="26"/>
          <w:szCs w:val="26"/>
        </w:rPr>
        <w:t xml:space="preserve">Destruction Procedures</w:t>
      </w:r>
    </w:p>
    <w:p>
      <w:pPr>
        <w:spacing w:after="120" w:before="60" w:line="320"/>
        <w:jc w:val="both"/>
      </w:pPr>
      <w:r>
        <w:rPr>
          <w:rFonts w:ascii="Arial" w:cs="Arial" w:eastAsia="Arial" w:hAnsi="Arial"/>
          <w:color w:val="1F1E1E"/>
          <w:sz w:val="22"/>
          <w:szCs w:val="22"/>
        </w:rPr>
        <w:t xml:space="preserve">1. Documents that have met their retention period may be destroyed only with approval from the Executive Director or Board Chair.</w:t>
      </w:r>
    </w:p>
    <w:p>
      <w:pPr>
        <w:spacing w:after="120" w:before="60" w:line="320"/>
        <w:jc w:val="both"/>
      </w:pPr>
      <w:r>
        <w:rPr>
          <w:rFonts w:ascii="Arial" w:cs="Arial" w:eastAsia="Arial" w:hAnsi="Arial"/>
          <w:color w:val="1F1E1E"/>
          <w:sz w:val="22"/>
          <w:szCs w:val="22"/>
        </w:rPr>
        <w:t xml:space="preserve">2. </w:t>
      </w:r>
      <w:r>
        <w:rPr>
          <w:rFonts w:ascii="Arial" w:cs="Arial" w:eastAsia="Arial" w:hAnsi="Arial"/>
          <w:b/>
          <w:bCs/>
          <w:color w:val="1F1E1E"/>
          <w:sz w:val="22"/>
          <w:szCs w:val="22"/>
        </w:rPr>
        <w:t xml:space="preserve">Paper.</w:t>
      </w:r>
      <w:r>
        <w:rPr>
          <w:rFonts w:ascii="Arial" w:cs="Arial" w:eastAsia="Arial" w:hAnsi="Arial"/>
          <w:color w:val="1F1E1E"/>
          <w:sz w:val="22"/>
          <w:szCs w:val="22"/>
        </w:rPr>
        <w:t xml:space="preserve"> Paper documents containing sensitive information shall be shredded using a cross-cut shredder at security level P-4 or higher per DIN 66399, or by a vendor holding current NAID AAA Certification.</w:t>
      </w:r>
    </w:p>
    <w:p>
      <w:pPr>
        <w:spacing w:after="120" w:before="60" w:line="320"/>
        <w:jc w:val="both"/>
      </w:pPr>
      <w:r>
        <w:rPr>
          <w:rFonts w:ascii="Arial" w:cs="Arial" w:eastAsia="Arial" w:hAnsi="Arial"/>
          <w:color w:val="1F1E1E"/>
          <w:sz w:val="22"/>
          <w:szCs w:val="22"/>
        </w:rPr>
        <w:t xml:space="preserve">3. </w:t>
      </w:r>
      <w:r>
        <w:rPr>
          <w:rFonts w:ascii="Arial" w:cs="Arial" w:eastAsia="Arial" w:hAnsi="Arial"/>
          <w:b/>
          <w:bCs/>
          <w:color w:val="1F1E1E"/>
          <w:sz w:val="22"/>
          <w:szCs w:val="22"/>
        </w:rPr>
        <w:t xml:space="preserve">Electronic media.</w:t>
      </w:r>
      <w:r>
        <w:rPr>
          <w:rFonts w:ascii="Arial" w:cs="Arial" w:eastAsia="Arial" w:hAnsi="Arial"/>
          <w:color w:val="1F1E1E"/>
          <w:sz w:val="22"/>
          <w:szCs w:val="22"/>
        </w:rPr>
        <w:t xml:space="preserve"> Electronic records on hard drives shall be sanitized per NIST SP 800-88 Rev. 1 (clear, purge, or destroy as appropriate to media type).</w:t>
      </w:r>
    </w:p>
    <w:p>
      <w:pPr>
        <w:spacing w:after="120" w:before="60" w:line="320"/>
        <w:jc w:val="both"/>
      </w:pPr>
      <w:r>
        <w:rPr>
          <w:rFonts w:ascii="Arial" w:cs="Arial" w:eastAsia="Arial" w:hAnsi="Arial"/>
          <w:color w:val="1F1E1E"/>
          <w:sz w:val="22"/>
          <w:szCs w:val="22"/>
        </w:rPr>
        <w:t xml:space="preserve">4. </w:t>
      </w:r>
      <w:r>
        <w:rPr>
          <w:rFonts w:ascii="Arial" w:cs="Arial" w:eastAsia="Arial" w:hAnsi="Arial"/>
          <w:b/>
          <w:bCs/>
          <w:color w:val="1F1E1E"/>
          <w:sz w:val="22"/>
          <w:szCs w:val="22"/>
        </w:rPr>
        <w:t xml:space="preserve">Cloud-stored records.</w:t>
      </w:r>
      <w:r>
        <w:rPr>
          <w:rFonts w:ascii="Arial" w:cs="Arial" w:eastAsia="Arial" w:hAnsi="Arial"/>
          <w:color w:val="1F1E1E"/>
          <w:sz w:val="22"/>
          <w:szCs w:val="22"/>
        </w:rPr>
        <w:t xml:space="preserve"> Cloud-stored records shall be deleted from both production and backup tiers, with vendor confirmation of erasure obtained in writing where reasonably available.</w:t>
      </w:r>
    </w:p>
    <w:p>
      <w:pPr>
        <w:spacing w:after="120" w:before="60" w:line="320"/>
        <w:jc w:val="both"/>
      </w:pPr>
      <w:r>
        <w:rPr>
          <w:rFonts w:ascii="Arial" w:cs="Arial" w:eastAsia="Arial" w:hAnsi="Arial"/>
          <w:color w:val="1F1E1E"/>
          <w:sz w:val="22"/>
          <w:szCs w:val="22"/>
        </w:rPr>
        <w:t xml:space="preserve">5. </w:t>
      </w:r>
      <w:r>
        <w:rPr>
          <w:rFonts w:ascii="Arial" w:cs="Arial" w:eastAsia="Arial" w:hAnsi="Arial"/>
          <w:b/>
          <w:bCs/>
          <w:color w:val="1F1E1E"/>
          <w:sz w:val="22"/>
          <w:szCs w:val="22"/>
        </w:rPr>
        <w:t xml:space="preserve">Destruction log.</w:t>
      </w:r>
      <w:r>
        <w:rPr>
          <w:rFonts w:ascii="Arial" w:cs="Arial" w:eastAsia="Arial" w:hAnsi="Arial"/>
          <w:color w:val="1F1E1E"/>
          <w:sz w:val="22"/>
          <w:szCs w:val="22"/>
        </w:rPr>
        <w:t xml:space="preserve"> A destruction log shall be maintained recording: document description, date of destruction, method of destruction, authorizing person, and an independent witness signature. The log shall be retained permanently as an organizational record.</w:t>
      </w:r>
    </w:p>
    <w:p>
      <w:pPr>
        <w:keepNext/>
        <w:spacing w:after="160" w:before="360"/>
      </w:pPr>
      <w:r>
        <w:rPr>
          <w:rFonts w:ascii="Arial" w:cs="Arial" w:eastAsia="Arial" w:hAnsi="Arial"/>
          <w:b/>
          <w:bCs/>
          <w:color w:val="561217"/>
          <w:sz w:val="26"/>
          <w:szCs w:val="26"/>
        </w:rPr>
        <w:t xml:space="preserve">Litigation Hold</w:t>
      </w:r>
    </w:p>
    <w:p>
      <w:pPr>
        <w:spacing w:after="120" w:before="60" w:line="320"/>
        <w:jc w:val="both"/>
      </w:pPr>
      <w:r>
        <w:rPr>
          <w:rFonts w:ascii="Arial" w:cs="Arial" w:eastAsia="Arial" w:hAnsi="Arial"/>
          <w:color w:val="1F1E1E"/>
          <w:sz w:val="22"/>
          <w:szCs w:val="22"/>
        </w:rPr>
        <w:t xml:space="preserve">When Holon Foundation is involved in or reasonably anticipates litigation, audit, or investigation, all destruction of potentially relevant documents must cease immediately. The Board Chair or legal counsel will issue a litigation hold notice specifying the categories of documents to be preserved.</w:t>
      </w:r>
    </w:p>
    <w:p>
      <w:pPr>
        <w:spacing w:after="120" w:before="60" w:line="320"/>
        <w:jc w:val="both"/>
      </w:pPr>
      <w:r>
        <w:rPr>
          <w:rFonts w:ascii="Arial" w:cs="Arial" w:eastAsia="Arial" w:hAnsi="Arial"/>
          <w:b/>
          <w:bCs/>
          <w:color w:val="1F1E1E"/>
          <w:sz w:val="22"/>
          <w:szCs w:val="22"/>
        </w:rPr>
        <w:t xml:space="preserve">Electronically Stored Information (ESI).</w:t>
      </w:r>
      <w:r>
        <w:rPr>
          <w:rFonts w:ascii="Arial" w:cs="Arial" w:eastAsia="Arial" w:hAnsi="Arial"/>
          <w:color w:val="1F1E1E"/>
          <w:sz w:val="22"/>
          <w:szCs w:val="22"/>
        </w:rPr>
        <w:t xml:space="preserve"> Upon issuance of a litigation hold notice, the Executive Director or designee shall:</w:t>
      </w:r>
    </w:p>
    <w:p>
      <w:pPr>
        <w:spacing w:after="120" w:before="60" w:line="320"/>
        <w:jc w:val="both"/>
      </w:pPr>
      <w:r>
        <w:rPr>
          <w:rFonts w:ascii="Arial" w:cs="Arial" w:eastAsia="Arial" w:hAnsi="Arial"/>
          <w:color w:val="1F1E1E"/>
          <w:sz w:val="22"/>
          <w:szCs w:val="22"/>
        </w:rPr>
        <w:t xml:space="preserve">(a) suspend all automated deletion of email, instant messages, and other ESI in Foundation systems for affected custodians;</w:t>
      </w:r>
    </w:p>
    <w:p>
      <w:pPr>
        <w:spacing w:after="120" w:before="60" w:line="320"/>
        <w:jc w:val="both"/>
      </w:pPr>
      <w:r>
        <w:rPr>
          <w:rFonts w:ascii="Arial" w:cs="Arial" w:eastAsia="Arial" w:hAnsi="Arial"/>
          <w:color w:val="1F1E1E"/>
          <w:sz w:val="22"/>
          <w:szCs w:val="22"/>
        </w:rPr>
        <w:t xml:space="preserve">(b) issue written notice to each individual custodian identified in the hold, requiring acknowledgment of receipt and continuing duty to preserve;</w:t>
      </w:r>
    </w:p>
    <w:p>
      <w:pPr>
        <w:spacing w:after="120" w:before="60" w:line="320"/>
        <w:jc w:val="both"/>
      </w:pPr>
      <w:r>
        <w:rPr>
          <w:rFonts w:ascii="Arial" w:cs="Arial" w:eastAsia="Arial" w:hAnsi="Arial"/>
          <w:color w:val="1F1E1E"/>
          <w:sz w:val="22"/>
          <w:szCs w:val="22"/>
        </w:rPr>
        <w:t xml:space="preserve">(c) work with IT and any third-party SaaS vendors (including Supabase, Stripe, Resend, and any cloud storage providers) to enable legal-hold features or otherwise prevent routine deletion of relevant records;</w:t>
      </w:r>
    </w:p>
    <w:p>
      <w:pPr>
        <w:spacing w:after="120" w:before="60" w:line="320"/>
        <w:jc w:val="both"/>
      </w:pPr>
      <w:r>
        <w:rPr>
          <w:rFonts w:ascii="Arial" w:cs="Arial" w:eastAsia="Arial" w:hAnsi="Arial"/>
          <w:color w:val="1F1E1E"/>
          <w:sz w:val="22"/>
          <w:szCs w:val="22"/>
        </w:rPr>
        <w:t xml:space="preserve">(d) maintain a </w:t>
      </w:r>
      <w:r>
        <w:rPr>
          <w:rFonts w:ascii="Arial" w:cs="Arial" w:eastAsia="Arial" w:hAnsi="Arial"/>
          <w:b/>
          <w:bCs/>
          <w:color w:val="1F1E1E"/>
          <w:sz w:val="22"/>
          <w:szCs w:val="22"/>
        </w:rPr>
        <w:t xml:space="preserve">Litigation Hold Register</w:t>
      </w:r>
      <w:r>
        <w:rPr>
          <w:rFonts w:ascii="Arial" w:cs="Arial" w:eastAsia="Arial" w:hAnsi="Arial"/>
          <w:color w:val="1F1E1E"/>
          <w:sz w:val="22"/>
          <w:szCs w:val="22"/>
        </w:rPr>
        <w:t xml:space="preserve"> documenting each hold's effective date, scope, custodians, and release date; and</w:t>
      </w:r>
    </w:p>
    <w:p>
      <w:pPr>
        <w:spacing w:after="120" w:before="60" w:line="320"/>
        <w:jc w:val="both"/>
      </w:pPr>
      <w:r>
        <w:rPr>
          <w:rFonts w:ascii="Arial" w:cs="Arial" w:eastAsia="Arial" w:hAnsi="Arial"/>
          <w:color w:val="1F1E1E"/>
          <w:sz w:val="22"/>
          <w:szCs w:val="22"/>
        </w:rPr>
        <w:t xml:space="preserve">(e) release the hold only by written instruction from the Board Chair or outside counsel, with documented confirmation that no preservation duty remains.</w:t>
      </w:r>
    </w:p>
    <w:p>
      <w:pPr>
        <w:spacing w:after="120" w:before="60" w:line="320"/>
        <w:jc w:val="both"/>
      </w:pPr>
      <w:r>
        <w:rPr>
          <w:rFonts w:ascii="Arial" w:cs="Arial" w:eastAsia="Arial" w:hAnsi="Arial"/>
          <w:color w:val="1F1E1E"/>
          <w:sz w:val="22"/>
          <w:szCs w:val="22"/>
        </w:rPr>
        <w:t xml:space="preserve">This procedure is designed to satisfy the spoliation-of-evidence standard under Federal Rule of Civil Procedure 37(e) and Texas Rules of Civil Procedure Rule 196.4.</w:t>
      </w:r>
    </w:p>
    <w:p>
      <w:pPr>
        <w:keepNext/>
        <w:spacing w:after="160" w:before="360"/>
      </w:pPr>
      <w:r>
        <w:rPr>
          <w:rFonts w:ascii="Arial" w:cs="Arial" w:eastAsia="Arial" w:hAnsi="Arial"/>
          <w:b/>
          <w:bCs/>
          <w:color w:val="561217"/>
          <w:sz w:val="26"/>
          <w:szCs w:val="26"/>
        </w:rPr>
        <w:t xml:space="preserve">Responsibilities</w:t>
      </w:r>
    </w:p>
    <w:p>
      <w:pPr>
        <w:pStyle w:val="ListParagraph"/>
        <w:numPr>
          <w:ilvl w:val="0"/>
          <w:numId w:val="2"/>
        </w:numPr>
        <w:spacing w:after="40" w:before="40" w:line="300"/>
      </w:pPr>
      <w:r>
        <w:rPr>
          <w:rFonts w:ascii="Arial" w:cs="Arial" w:eastAsia="Arial" w:hAnsi="Arial"/>
          <w:color w:val="1F1E1E"/>
          <w:sz w:val="22"/>
          <w:szCs w:val="22"/>
        </w:rPr>
        <w:t xml:space="preserve">The Executive Director is responsible for implementing this policy and ensuring staff compliance.</w:t>
      </w:r>
    </w:p>
    <w:p>
      <w:pPr>
        <w:pStyle w:val="ListParagraph"/>
        <w:numPr>
          <w:ilvl w:val="0"/>
          <w:numId w:val="2"/>
        </w:numPr>
        <w:spacing w:after="40" w:before="40" w:line="300"/>
      </w:pPr>
      <w:r>
        <w:rPr>
          <w:rFonts w:ascii="Arial" w:cs="Arial" w:eastAsia="Arial" w:hAnsi="Arial"/>
          <w:color w:val="1F1E1E"/>
          <w:sz w:val="22"/>
          <w:szCs w:val="22"/>
        </w:rPr>
        <w:t xml:space="preserve">The Finance and Audit Committee reviews this policy annually.</w:t>
      </w:r>
    </w:p>
    <w:p>
      <w:pPr>
        <w:pStyle w:val="ListParagraph"/>
        <w:numPr>
          <w:ilvl w:val="0"/>
          <w:numId w:val="2"/>
        </w:numPr>
        <w:spacing w:after="40" w:before="40" w:line="300"/>
      </w:pPr>
      <w:r>
        <w:rPr>
          <w:rFonts w:ascii="Arial" w:cs="Arial" w:eastAsia="Arial" w:hAnsi="Arial"/>
          <w:color w:val="1F1E1E"/>
          <w:sz w:val="22"/>
          <w:szCs w:val="22"/>
        </w:rPr>
        <w:t xml:space="preserve">All staff, volunteers, and board members are responsible for retaining documents in accordance with this schedule.</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06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06  ·  DOCUMENT RETENTION AND DESTRUCTION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Retention and Destruction Policy</dc:title>
  <dc:creator>Holon Foundation</dc:creator>
  <dc:description>Holon Foundation — Policy No. 06</dc:description>
  <cp:lastModifiedBy>Un-named</cp:lastModifiedBy>
  <cp:revision>1</cp:revision>
  <dcterms:created xsi:type="dcterms:W3CDTF">2026-05-21T02:41:41.179Z</dcterms:created>
  <dcterms:modified xsi:type="dcterms:W3CDTF">2026-05-21T02:41:41.179Z</dcterms:modified>
</cp:coreProperties>
</file>

<file path=docProps/custom.xml><?xml version="1.0" encoding="utf-8"?>
<Properties xmlns="http://schemas.openxmlformats.org/officeDocument/2006/custom-properties" xmlns:vt="http://schemas.openxmlformats.org/officeDocument/2006/docPropsVTypes"/>
</file>