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05</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Whistleblower Protection Policy</w:t>
      </w:r>
    </w:p>
    <w:p>
      <w:pPr>
        <w:spacing w:after="0" w:before="0"/>
        <w:jc w:val="center"/>
      </w:pPr>
      <w:r>
        <w:rPr>
          <w:rFonts w:ascii="Arial" w:cs="Arial" w:eastAsia="Arial" w:hAnsi="Arial"/>
          <w:i/>
          <w:iCs/>
          <w:color w:val="4A4A4A"/>
          <w:sz w:val="20"/>
          <w:szCs w:val="20"/>
        </w:rPr>
        <w:t xml:space="preserve">Holon Foundation — Policy No. 05</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Added Legal Foundation paragraph invoking Sarbanes-Oxley §§ 1107 and 802 (the federal criminal anti-retaliation and document-destruction statutes that apply to nonprofits) and Texas Government Code Ch. 554, anchoring the policy in enforceable law.</w:t>
      </w:r>
    </w:p>
    <w:p>
      <w:pPr>
        <w:pStyle w:val="ListParagraph"/>
        <w:numPr>
          <w:ilvl w:val="0"/>
          <w:numId w:val="2"/>
        </w:numPr>
        <w:spacing w:after="40" w:before="40" w:line="300"/>
      </w:pPr>
      <w:r>
        <w:rPr>
          <w:rFonts w:ascii="Arial" w:cs="Arial" w:eastAsia="Arial" w:hAnsi="Arial"/>
          <w:color w:val="1F1E1E"/>
          <w:sz w:val="22"/>
          <w:szCs w:val="22"/>
        </w:rPr>
        <w:t xml:space="preserve">Added an independent third-party hotline as a fourth reporting channel (routed to the Audit Committee with copy to outside counsel), eliminating the small-organization reasonable-fear-of-traceability problem and aligning with BBB Wise Giving Standard 5.</w:t>
      </w:r>
    </w:p>
    <w:p>
      <w:pPr>
        <w:pStyle w:val="ListParagraph"/>
        <w:numPr>
          <w:ilvl w:val="0"/>
          <w:numId w:val="2"/>
        </w:numPr>
        <w:spacing w:after="40" w:before="40" w:line="300"/>
      </w:pPr>
      <w:r>
        <w:rPr>
          <w:rFonts w:ascii="Arial" w:cs="Arial" w:eastAsia="Arial" w:hAnsi="Arial"/>
          <w:color w:val="1F1E1E"/>
          <w:sz w:val="22"/>
          <w:szCs w:val="22"/>
        </w:rPr>
        <w:t xml:space="preserve">Set a 90-day default investigation completion target, routed financial-irregularity reports to the Audit Committee (not Governance), and required automatic document-preservation litigation hold on receipt under SOX § 802.</w:t>
      </w:r>
    </w:p>
    <w:p>
      <w:pPr>
        <w:pStyle w:val="ListParagraph"/>
        <w:numPr>
          <w:ilvl w:val="0"/>
          <w:numId w:val="2"/>
        </w:numPr>
        <w:spacing w:after="40" w:before="40" w:line="300"/>
      </w:pPr>
      <w:r>
        <w:rPr>
          <w:rFonts w:ascii="Arial" w:cs="Arial" w:eastAsia="Arial" w:hAnsi="Arial"/>
          <w:color w:val="1F1E1E"/>
          <w:sz w:val="22"/>
          <w:szCs w:val="22"/>
        </w:rPr>
        <w:t xml:space="preserve">Adopted the Sarbanes-Oxley § 806 burden-shifting framework for retaliation claims and expanded the list of prohibited retaliatory acts to include volunteer- and contractor-specific actions.</w:t>
      </w:r>
    </w:p>
    <w:p>
      <w:pPr>
        <w:pStyle w:val="ListParagraph"/>
        <w:numPr>
          <w:ilvl w:val="0"/>
          <w:numId w:val="2"/>
        </w:numPr>
        <w:spacing w:after="40" w:before="40" w:line="300"/>
      </w:pPr>
      <w:r>
        <w:rPr>
          <w:rFonts w:ascii="Arial" w:cs="Arial" w:eastAsia="Arial" w:hAnsi="Arial"/>
          <w:color w:val="1F1E1E"/>
          <w:sz w:val="22"/>
          <w:szCs w:val="22"/>
        </w:rPr>
        <w:t xml:space="preserve">Cross-referenced Holon Foundation Policy No. 06 (Document Retention) for end-of-life destruction certification and Audit Committee Chair access for financial reports.</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Purpose</w:t>
      </w:r>
    </w:p>
    <w:p>
      <w:pPr>
        <w:spacing w:after="120" w:before="60" w:line="320"/>
        <w:jc w:val="both"/>
      </w:pPr>
      <w:r>
        <w:rPr>
          <w:rFonts w:ascii="Arial" w:cs="Arial" w:eastAsia="Arial" w:hAnsi="Arial"/>
          <w:color w:val="1F1E1E"/>
          <w:sz w:val="22"/>
          <w:szCs w:val="22"/>
        </w:rPr>
        <w:t xml:space="preserve">Holon Foundation is committed to maintaining the highest standards of ethical conduct and legal compliance. This policy establishes safe, confidential channels for reporting suspected misconduct, fraud, financial irregularities, or violations of law or organizational policy, and provides robust protection against retaliation for those who report in good faith.</w:t>
      </w:r>
    </w:p>
    <w:p>
      <w:pPr>
        <w:keepNext/>
        <w:spacing w:after="160" w:before="360"/>
      </w:pPr>
      <w:r>
        <w:rPr>
          <w:rFonts w:ascii="Arial" w:cs="Arial" w:eastAsia="Arial" w:hAnsi="Arial"/>
          <w:b/>
          <w:bCs/>
          <w:color w:val="561217"/>
          <w:sz w:val="26"/>
          <w:szCs w:val="26"/>
        </w:rPr>
        <w:t xml:space="preserve">Legal Foundation</w:t>
      </w:r>
    </w:p>
    <w:p>
      <w:pPr>
        <w:spacing w:after="120" w:before="60" w:line="320"/>
        <w:jc w:val="both"/>
      </w:pPr>
      <w:r>
        <w:rPr>
          <w:rFonts w:ascii="Arial" w:cs="Arial" w:eastAsia="Arial" w:hAnsi="Arial"/>
          <w:color w:val="1F1E1E"/>
          <w:sz w:val="22"/>
          <w:szCs w:val="22"/>
        </w:rPr>
        <w:t xml:space="preserve">This Policy is established in compliance with, and incorporates the protections of:</w:t>
      </w:r>
    </w:p>
    <w:p>
      <w:pPr>
        <w:spacing w:after="120" w:before="60" w:line="320"/>
        <w:jc w:val="both"/>
      </w:pPr>
      <w:r>
        <w:rPr>
          <w:rFonts w:ascii="Arial" w:cs="Arial" w:eastAsia="Arial" w:hAnsi="Arial"/>
          <w:color w:val="1F1E1E"/>
          <w:sz w:val="22"/>
          <w:szCs w:val="22"/>
        </w:rPr>
        <w:t xml:space="preserve">(a) Sections 1107 and 802 of the Sarbanes-Oxley Act of 2002 (codified at 18 U.S.C. §§ 1513(e) and 1519), which make it a federal crime to retaliate against a whistleblower for providing truthful information to law enforcement, and to alter, destroy, mutilate, or conceal records during a pending or anticipated federal investigation;</w:t>
      </w:r>
    </w:p>
    <w:p>
      <w:pPr>
        <w:spacing w:after="120" w:before="60" w:line="320"/>
        <w:jc w:val="both"/>
      </w:pPr>
      <w:r>
        <w:rPr>
          <w:rFonts w:ascii="Arial" w:cs="Arial" w:eastAsia="Arial" w:hAnsi="Arial"/>
          <w:color w:val="1F1E1E"/>
          <w:sz w:val="22"/>
          <w:szCs w:val="22"/>
        </w:rPr>
        <w:t xml:space="preserve">(b) Section 806 of the Sarbanes-Oxley Act (18 U.S.C. § 1514A) and its burden-shifting framework for retaliation claims (as adapted by analogy for tax-exempt organizations);</w:t>
      </w:r>
    </w:p>
    <w:p>
      <w:pPr>
        <w:spacing w:after="120" w:before="60" w:line="320"/>
        <w:jc w:val="both"/>
      </w:pPr>
      <w:r>
        <w:rPr>
          <w:rFonts w:ascii="Arial" w:cs="Arial" w:eastAsia="Arial" w:hAnsi="Arial"/>
          <w:color w:val="1F1E1E"/>
          <w:sz w:val="22"/>
          <w:szCs w:val="22"/>
        </w:rPr>
        <w:t xml:space="preserve">(c) applicable Texas statutes protecting good-faith reporters, including Texas Government Code Chapter 554 where applicable;</w:t>
      </w:r>
    </w:p>
    <w:p>
      <w:pPr>
        <w:spacing w:after="120" w:before="60" w:line="320"/>
        <w:jc w:val="both"/>
      </w:pPr>
      <w:r>
        <w:rPr>
          <w:rFonts w:ascii="Arial" w:cs="Arial" w:eastAsia="Arial" w:hAnsi="Arial"/>
          <w:color w:val="1F1E1E"/>
          <w:sz w:val="22"/>
          <w:szCs w:val="22"/>
        </w:rPr>
        <w:t xml:space="preserve">(d) IRS Form 990 Part VI Line 13 expectations for written whistleblower policies; and</w:t>
      </w:r>
    </w:p>
    <w:p>
      <w:pPr>
        <w:spacing w:after="120" w:before="60" w:line="320"/>
        <w:jc w:val="both"/>
      </w:pPr>
      <w:r>
        <w:rPr>
          <w:rFonts w:ascii="Arial" w:cs="Arial" w:eastAsia="Arial" w:hAnsi="Arial"/>
          <w:color w:val="1F1E1E"/>
          <w:sz w:val="22"/>
          <w:szCs w:val="22"/>
        </w:rPr>
        <w:t xml:space="preserve">(e) BoardSource Recommended Governance Practices and Independent Sector Principles 19 and 23.</w:t>
      </w:r>
    </w:p>
    <w:p>
      <w:pPr>
        <w:spacing w:after="120" w:before="60" w:line="320"/>
        <w:jc w:val="both"/>
      </w:pPr>
      <w:r>
        <w:rPr>
          <w:rFonts w:ascii="Arial" w:cs="Arial" w:eastAsia="Arial" w:hAnsi="Arial"/>
          <w:color w:val="1F1E1E"/>
          <w:sz w:val="22"/>
          <w:szCs w:val="22"/>
        </w:rPr>
        <w:t xml:space="preserve">Nothing in this Policy limits any right or remedy available under those laws.</w:t>
      </w:r>
    </w:p>
    <w:p>
      <w:pPr>
        <w:keepNext/>
        <w:spacing w:after="160" w:before="360"/>
      </w:pPr>
      <w:r>
        <w:rPr>
          <w:rFonts w:ascii="Arial" w:cs="Arial" w:eastAsia="Arial" w:hAnsi="Arial"/>
          <w:b/>
          <w:bCs/>
          <w:color w:val="561217"/>
          <w:sz w:val="26"/>
          <w:szCs w:val="26"/>
        </w:rPr>
        <w:t xml:space="preserve">Scope</w:t>
      </w:r>
    </w:p>
    <w:p>
      <w:pPr>
        <w:spacing w:after="120" w:before="60" w:line="320"/>
        <w:jc w:val="both"/>
      </w:pPr>
      <w:r>
        <w:rPr>
          <w:rFonts w:ascii="Arial" w:cs="Arial" w:eastAsia="Arial" w:hAnsi="Arial"/>
          <w:color w:val="1F1E1E"/>
          <w:sz w:val="22"/>
          <w:szCs w:val="22"/>
        </w:rPr>
        <w:t xml:space="preserve">This policy applies to all directors, officers, employees, volunteers, contractors, and any other persons associated with Holon Foundation who become aware of or suspect wrongdoing.</w:t>
      </w:r>
    </w:p>
    <w:p>
      <w:pPr>
        <w:keepNext/>
        <w:spacing w:after="160" w:before="360"/>
      </w:pPr>
      <w:r>
        <w:rPr>
          <w:rFonts w:ascii="Arial" w:cs="Arial" w:eastAsia="Arial" w:hAnsi="Arial"/>
          <w:b/>
          <w:bCs/>
          <w:color w:val="561217"/>
          <w:sz w:val="26"/>
          <w:szCs w:val="26"/>
        </w:rPr>
        <w:t xml:space="preserve">Protected Disclosures</w:t>
      </w:r>
    </w:p>
    <w:p>
      <w:pPr>
        <w:spacing w:after="120" w:before="60" w:line="320"/>
        <w:jc w:val="both"/>
      </w:pPr>
      <w:r>
        <w:rPr>
          <w:rFonts w:ascii="Arial" w:cs="Arial" w:eastAsia="Arial" w:hAnsi="Arial"/>
          <w:color w:val="1F1E1E"/>
          <w:sz w:val="22"/>
          <w:szCs w:val="22"/>
        </w:rPr>
        <w:t xml:space="preserve">Reports may concern, but are not limited to:</w:t>
      </w:r>
    </w:p>
    <w:p>
      <w:pPr>
        <w:pStyle w:val="ListParagraph"/>
        <w:numPr>
          <w:ilvl w:val="0"/>
          <w:numId w:val="2"/>
        </w:numPr>
        <w:spacing w:after="40" w:before="40" w:line="300"/>
      </w:pPr>
      <w:r>
        <w:rPr>
          <w:rFonts w:ascii="Arial" w:cs="Arial" w:eastAsia="Arial" w:hAnsi="Arial"/>
          <w:color w:val="1F1E1E"/>
          <w:sz w:val="22"/>
          <w:szCs w:val="22"/>
        </w:rPr>
        <w:t xml:space="preserve">Fraud, theft, embezzlement, or misappropriation of assets</w:t>
      </w:r>
    </w:p>
    <w:p>
      <w:pPr>
        <w:pStyle w:val="ListParagraph"/>
        <w:numPr>
          <w:ilvl w:val="0"/>
          <w:numId w:val="2"/>
        </w:numPr>
        <w:spacing w:after="40" w:before="40" w:line="300"/>
      </w:pPr>
      <w:r>
        <w:rPr>
          <w:rFonts w:ascii="Arial" w:cs="Arial" w:eastAsia="Arial" w:hAnsi="Arial"/>
          <w:color w:val="1F1E1E"/>
          <w:sz w:val="22"/>
          <w:szCs w:val="22"/>
        </w:rPr>
        <w:t xml:space="preserve">Violations of federal, state, or local law</w:t>
      </w:r>
    </w:p>
    <w:p>
      <w:pPr>
        <w:pStyle w:val="ListParagraph"/>
        <w:numPr>
          <w:ilvl w:val="0"/>
          <w:numId w:val="2"/>
        </w:numPr>
        <w:spacing w:after="40" w:before="40" w:line="300"/>
      </w:pPr>
      <w:r>
        <w:rPr>
          <w:rFonts w:ascii="Arial" w:cs="Arial" w:eastAsia="Arial" w:hAnsi="Arial"/>
          <w:color w:val="1F1E1E"/>
          <w:sz w:val="22"/>
          <w:szCs w:val="22"/>
        </w:rPr>
        <w:t xml:space="preserve">Violations of Holon Foundation policies, including Holon Foundation Policy No. 04 (Ethics and Conflict of Interest Policy)</w:t>
      </w:r>
    </w:p>
    <w:p>
      <w:pPr>
        <w:pStyle w:val="ListParagraph"/>
        <w:numPr>
          <w:ilvl w:val="0"/>
          <w:numId w:val="2"/>
        </w:numPr>
        <w:spacing w:after="40" w:before="40" w:line="300"/>
      </w:pPr>
      <w:r>
        <w:rPr>
          <w:rFonts w:ascii="Arial" w:cs="Arial" w:eastAsia="Arial" w:hAnsi="Arial"/>
          <w:color w:val="1F1E1E"/>
          <w:sz w:val="22"/>
          <w:szCs w:val="22"/>
        </w:rPr>
        <w:t xml:space="preserve">Financial mismanagement or irregularities in accounting or auditing</w:t>
      </w:r>
    </w:p>
    <w:p>
      <w:pPr>
        <w:pStyle w:val="ListParagraph"/>
        <w:numPr>
          <w:ilvl w:val="0"/>
          <w:numId w:val="2"/>
        </w:numPr>
        <w:spacing w:after="40" w:before="40" w:line="300"/>
      </w:pPr>
      <w:r>
        <w:rPr>
          <w:rFonts w:ascii="Arial" w:cs="Arial" w:eastAsia="Arial" w:hAnsi="Arial"/>
          <w:color w:val="1F1E1E"/>
          <w:sz w:val="22"/>
          <w:szCs w:val="22"/>
        </w:rPr>
        <w:t xml:space="preserve">Endangerment of health, safety, or the environment</w:t>
      </w:r>
    </w:p>
    <w:p>
      <w:pPr>
        <w:pStyle w:val="ListParagraph"/>
        <w:numPr>
          <w:ilvl w:val="0"/>
          <w:numId w:val="2"/>
        </w:numPr>
        <w:spacing w:after="40" w:before="40" w:line="300"/>
      </w:pPr>
      <w:r>
        <w:rPr>
          <w:rFonts w:ascii="Arial" w:cs="Arial" w:eastAsia="Arial" w:hAnsi="Arial"/>
          <w:color w:val="1F1E1E"/>
          <w:sz w:val="22"/>
          <w:szCs w:val="22"/>
        </w:rPr>
        <w:t xml:space="preserve">Abuse of authority or position</w:t>
      </w:r>
    </w:p>
    <w:p>
      <w:pPr>
        <w:pStyle w:val="ListParagraph"/>
        <w:numPr>
          <w:ilvl w:val="0"/>
          <w:numId w:val="2"/>
        </w:numPr>
        <w:spacing w:after="40" w:before="40" w:line="300"/>
      </w:pPr>
      <w:r>
        <w:rPr>
          <w:rFonts w:ascii="Arial" w:cs="Arial" w:eastAsia="Arial" w:hAnsi="Arial"/>
          <w:color w:val="1F1E1E"/>
          <w:sz w:val="22"/>
          <w:szCs w:val="22"/>
        </w:rPr>
        <w:t xml:space="preserve">Retaliation against any person who has made a report under this policy</w:t>
      </w:r>
    </w:p>
    <w:p>
      <w:pPr>
        <w:pStyle w:val="ListParagraph"/>
        <w:numPr>
          <w:ilvl w:val="0"/>
          <w:numId w:val="2"/>
        </w:numPr>
        <w:spacing w:after="40" w:before="40" w:line="300"/>
      </w:pPr>
      <w:r>
        <w:rPr>
          <w:rFonts w:ascii="Arial" w:cs="Arial" w:eastAsia="Arial" w:hAnsi="Arial"/>
          <w:color w:val="1F1E1E"/>
          <w:sz w:val="22"/>
          <w:szCs w:val="22"/>
        </w:rPr>
        <w:t xml:space="preserve">Falsification of records or reports</w:t>
      </w:r>
    </w:p>
    <w:p>
      <w:pPr>
        <w:keepNext/>
        <w:spacing w:after="160" w:before="360"/>
      </w:pPr>
      <w:r>
        <w:rPr>
          <w:rFonts w:ascii="Arial" w:cs="Arial" w:eastAsia="Arial" w:hAnsi="Arial"/>
          <w:b/>
          <w:bCs/>
          <w:color w:val="561217"/>
          <w:sz w:val="26"/>
          <w:szCs w:val="26"/>
        </w:rPr>
        <w:t xml:space="preserve">Reporting Channels</w:t>
      </w:r>
    </w:p>
    <w:p>
      <w:pPr>
        <w:spacing w:after="120" w:before="60" w:line="320"/>
        <w:jc w:val="both"/>
      </w:pPr>
      <w:r>
        <w:rPr>
          <w:rFonts w:ascii="Arial" w:cs="Arial" w:eastAsia="Arial" w:hAnsi="Arial"/>
          <w:b/>
          <w:bCs/>
          <w:color w:val="1F1E1E"/>
          <w:sz w:val="22"/>
          <w:szCs w:val="22"/>
        </w:rPr>
        <w:t xml:space="preserve">Direct Report.</w:t>
      </w:r>
      <w:r>
        <w:rPr>
          <w:rFonts w:ascii="Arial" w:cs="Arial" w:eastAsia="Arial" w:hAnsi="Arial"/>
          <w:color w:val="1F1E1E"/>
          <w:sz w:val="22"/>
          <w:szCs w:val="22"/>
        </w:rPr>
        <w:t xml:space="preserve"> Report concerns verbally or in writing to the Board Chair or Governance Committee Chair.</w:t>
      </w:r>
    </w:p>
    <w:p>
      <w:pPr>
        <w:spacing w:after="120" w:before="60" w:line="320"/>
        <w:jc w:val="both"/>
      </w:pPr>
      <w:r>
        <w:rPr>
          <w:rFonts w:ascii="Arial" w:cs="Arial" w:eastAsia="Arial" w:hAnsi="Arial"/>
          <w:b/>
          <w:bCs/>
          <w:color w:val="1F1E1E"/>
          <w:sz w:val="22"/>
          <w:szCs w:val="22"/>
        </w:rPr>
        <w:t xml:space="preserve">Anonymous Report.</w:t>
      </w:r>
      <w:r>
        <w:rPr>
          <w:rFonts w:ascii="Arial" w:cs="Arial" w:eastAsia="Arial" w:hAnsi="Arial"/>
          <w:color w:val="1F1E1E"/>
          <w:sz w:val="22"/>
          <w:szCs w:val="22"/>
        </w:rPr>
        <w:t xml:space="preserve"> Submit concerns through the anonymous reporting form available on holonfoundation.org or the Governance sub-module at holonfoundation.app. Anonymous reports will be investigated to the extent possible given the information provided.</w:t>
      </w:r>
    </w:p>
    <w:p>
      <w:pPr>
        <w:spacing w:after="120" w:before="60" w:line="320"/>
        <w:jc w:val="both"/>
      </w:pPr>
      <w:r>
        <w:rPr>
          <w:rFonts w:ascii="Arial" w:cs="Arial" w:eastAsia="Arial" w:hAnsi="Arial"/>
          <w:b/>
          <w:bCs/>
          <w:color w:val="1F1E1E"/>
          <w:sz w:val="22"/>
          <w:szCs w:val="22"/>
        </w:rPr>
        <w:t xml:space="preserve">External (Counsel) Report.</w:t>
      </w:r>
      <w:r>
        <w:rPr>
          <w:rFonts w:ascii="Arial" w:cs="Arial" w:eastAsia="Arial" w:hAnsi="Arial"/>
          <w:color w:val="1F1E1E"/>
          <w:sz w:val="22"/>
          <w:szCs w:val="22"/>
        </w:rPr>
        <w:t xml:space="preserve"> If the concern involves the Board Chair or the reporting person believes internal channels are compromised, reports may be directed to the organization's legal counsel.</w:t>
      </w:r>
    </w:p>
    <w:p>
      <w:pPr>
        <w:spacing w:after="120" w:before="60" w:line="320"/>
        <w:jc w:val="both"/>
      </w:pPr>
      <w:r>
        <w:rPr>
          <w:rFonts w:ascii="Arial" w:cs="Arial" w:eastAsia="Arial" w:hAnsi="Arial"/>
          <w:b/>
          <w:bCs/>
          <w:color w:val="1F1E1E"/>
          <w:sz w:val="22"/>
          <w:szCs w:val="22"/>
        </w:rPr>
        <w:t xml:space="preserve">Third-Party Hotline.</w:t>
      </w:r>
      <w:r>
        <w:rPr>
          <w:rFonts w:ascii="Arial" w:cs="Arial" w:eastAsia="Arial" w:hAnsi="Arial"/>
          <w:color w:val="1F1E1E"/>
          <w:sz w:val="22"/>
          <w:szCs w:val="22"/>
        </w:rPr>
        <w:t xml:space="preserve"> As a fourth channel, reporters may submit concerns through the Foundation's contracted independent reporting service at [INSERT URL and toll-free number], operated by [INSERT VENDOR]. The hotline is available 24 hours a day, in English and Spanish, and accepts anonymous reports. Reports submitted through this channel are routed to the Audit Committee Chair, with copy to outside legal counsel; the Board Chair does not receive direct access to the third-party hotline's intake.</w:t>
      </w:r>
    </w:p>
    <w:p>
      <w:pPr>
        <w:keepNext/>
        <w:spacing w:after="160" w:before="360"/>
      </w:pPr>
      <w:r>
        <w:rPr>
          <w:rFonts w:ascii="Arial" w:cs="Arial" w:eastAsia="Arial" w:hAnsi="Arial"/>
          <w:b/>
          <w:bCs/>
          <w:color w:val="561217"/>
          <w:sz w:val="26"/>
          <w:szCs w:val="26"/>
        </w:rPr>
        <w:t xml:space="preserve">Investigation Process</w:t>
      </w:r>
    </w:p>
    <w:p>
      <w:pPr>
        <w:spacing w:after="120" w:before="60" w:line="320"/>
        <w:jc w:val="both"/>
      </w:pPr>
      <w:r>
        <w:rPr>
          <w:rFonts w:ascii="Arial" w:cs="Arial" w:eastAsia="Arial" w:hAnsi="Arial"/>
          <w:color w:val="1F1E1E"/>
          <w:sz w:val="22"/>
          <w:szCs w:val="22"/>
        </w:rPr>
        <w:t xml:space="preserve">1. All reports will be acknowledged within five (5) business days of receipt (except anonymous reports where no contact information is provided).</w:t>
      </w:r>
    </w:p>
    <w:p>
      <w:pPr>
        <w:spacing w:after="120" w:before="60" w:line="320"/>
        <w:jc w:val="both"/>
      </w:pPr>
      <w:r>
        <w:rPr>
          <w:rFonts w:ascii="Arial" w:cs="Arial" w:eastAsia="Arial" w:hAnsi="Arial"/>
          <w:color w:val="1F1E1E"/>
          <w:sz w:val="22"/>
          <w:szCs w:val="22"/>
        </w:rPr>
        <w:t xml:space="preserve">2. </w:t>
      </w:r>
      <w:r>
        <w:rPr>
          <w:rFonts w:ascii="Arial" w:cs="Arial" w:eastAsia="Arial" w:hAnsi="Arial"/>
          <w:b/>
          <w:bCs/>
          <w:color w:val="1F1E1E"/>
          <w:sz w:val="22"/>
          <w:szCs w:val="22"/>
        </w:rPr>
        <w:t xml:space="preserve">Routing.</w:t>
      </w:r>
      <w:r>
        <w:rPr>
          <w:rFonts w:ascii="Arial" w:cs="Arial" w:eastAsia="Arial" w:hAnsi="Arial"/>
          <w:color w:val="1F1E1E"/>
          <w:sz w:val="22"/>
          <w:szCs w:val="22"/>
        </w:rPr>
        <w:t xml:space="preserve"> The Governance Committee Chair, or their designee, will oversee the investigation. </w:t>
      </w:r>
      <w:r>
        <w:rPr>
          <w:rFonts w:ascii="Arial" w:cs="Arial" w:eastAsia="Arial" w:hAnsi="Arial"/>
          <w:b/>
          <w:bCs/>
          <w:color w:val="1F1E1E"/>
          <w:sz w:val="22"/>
          <w:szCs w:val="22"/>
        </w:rPr>
        <w:t xml:space="preserve">Reports alleging financial impropriety, audit irregularities, accounting violations, or theft of organizational assets shall be routed to the Chair of the Audit Committee</w:t>
      </w:r>
      <w:r>
        <w:rPr>
          <w:rFonts w:ascii="Arial" w:cs="Arial" w:eastAsia="Arial" w:hAnsi="Arial"/>
          <w:color w:val="1F1E1E"/>
          <w:sz w:val="22"/>
          <w:szCs w:val="22"/>
        </w:rPr>
        <w:t xml:space="preserve"> (rather than the Governance Committee) and conducted under the Audit Committee's supervision, with the assistance of outside counsel where appropriate. If the concern involves the responsible committee Chair, the Board Chair will appoint an alternative investigator.</w:t>
      </w:r>
    </w:p>
    <w:p>
      <w:pPr>
        <w:spacing w:after="120" w:before="60" w:line="320"/>
        <w:jc w:val="both"/>
      </w:pPr>
      <w:r>
        <w:rPr>
          <w:rFonts w:ascii="Arial" w:cs="Arial" w:eastAsia="Arial" w:hAnsi="Arial"/>
          <w:color w:val="1F1E1E"/>
          <w:sz w:val="22"/>
          <w:szCs w:val="22"/>
        </w:rPr>
        <w:t xml:space="preserve">3. </w:t>
      </w:r>
      <w:r>
        <w:rPr>
          <w:rFonts w:ascii="Arial" w:cs="Arial" w:eastAsia="Arial" w:hAnsi="Arial"/>
          <w:b/>
          <w:bCs/>
          <w:color w:val="1F1E1E"/>
          <w:sz w:val="22"/>
          <w:szCs w:val="22"/>
        </w:rPr>
        <w:t xml:space="preserve">Litigation hold.</w:t>
      </w:r>
      <w:r>
        <w:rPr>
          <w:rFonts w:ascii="Arial" w:cs="Arial" w:eastAsia="Arial" w:hAnsi="Arial"/>
          <w:color w:val="1F1E1E"/>
          <w:sz w:val="22"/>
          <w:szCs w:val="22"/>
        </w:rPr>
        <w:t xml:space="preserve"> Upon receipt of any report under this Policy, the Foundation shall immediately suspend routine destruction of potentially relevant records under Holon Foundation Policy No. 06 (Document Retention and Destruction Policy) and shall issue a written litigation hold to all custodians of such records.</w:t>
      </w:r>
    </w:p>
    <w:p>
      <w:pPr>
        <w:spacing w:after="120" w:before="60" w:line="320"/>
        <w:jc w:val="both"/>
      </w:pPr>
      <w:r>
        <w:rPr>
          <w:rFonts w:ascii="Arial" w:cs="Arial" w:eastAsia="Arial" w:hAnsi="Arial"/>
          <w:color w:val="1F1E1E"/>
          <w:sz w:val="22"/>
          <w:szCs w:val="22"/>
        </w:rPr>
        <w:t xml:space="preserve">4. Investigations will be conducted promptly, thoroughly, and with appropriate confidentiality.</w:t>
      </w:r>
    </w:p>
    <w:p>
      <w:pPr>
        <w:spacing w:after="120" w:before="60" w:line="320"/>
        <w:jc w:val="both"/>
      </w:pPr>
      <w:r>
        <w:rPr>
          <w:rFonts w:ascii="Arial" w:cs="Arial" w:eastAsia="Arial" w:hAnsi="Arial"/>
          <w:color w:val="1F1E1E"/>
          <w:sz w:val="22"/>
          <w:szCs w:val="22"/>
        </w:rPr>
        <w:t xml:space="preserve">5. </w:t>
      </w:r>
      <w:r>
        <w:rPr>
          <w:rFonts w:ascii="Arial" w:cs="Arial" w:eastAsia="Arial" w:hAnsi="Arial"/>
          <w:b/>
          <w:bCs/>
          <w:color w:val="1F1E1E"/>
          <w:sz w:val="22"/>
          <w:szCs w:val="22"/>
        </w:rPr>
        <w:t xml:space="preserve">Timing.</w:t>
      </w:r>
      <w:r>
        <w:rPr>
          <w:rFonts w:ascii="Arial" w:cs="Arial" w:eastAsia="Arial" w:hAnsi="Arial"/>
          <w:color w:val="1F1E1E"/>
          <w:sz w:val="22"/>
          <w:szCs w:val="22"/>
        </w:rPr>
        <w:t xml:space="preserve"> Investigations shall be substantively completed within ninety (90) calendar days of report receipt, with any extension documented in writing and reported to the Audit Committee.</w:t>
      </w:r>
    </w:p>
    <w:p>
      <w:pPr>
        <w:spacing w:after="120" w:before="60" w:line="320"/>
        <w:jc w:val="both"/>
      </w:pPr>
      <w:r>
        <w:rPr>
          <w:rFonts w:ascii="Arial" w:cs="Arial" w:eastAsia="Arial" w:hAnsi="Arial"/>
          <w:color w:val="1F1E1E"/>
          <w:sz w:val="22"/>
          <w:szCs w:val="22"/>
        </w:rPr>
        <w:t xml:space="preserve">6. The reporter will be informed of the outcome of the investigation to the extent consistent with confidentiality and legal obligations.</w:t>
      </w:r>
    </w:p>
    <w:p>
      <w:pPr>
        <w:spacing w:after="120" w:before="60" w:line="320"/>
        <w:jc w:val="both"/>
      </w:pPr>
      <w:r>
        <w:rPr>
          <w:rFonts w:ascii="Arial" w:cs="Arial" w:eastAsia="Arial" w:hAnsi="Arial"/>
          <w:color w:val="1F1E1E"/>
          <w:sz w:val="22"/>
          <w:szCs w:val="22"/>
        </w:rPr>
        <w:t xml:space="preserve">7. Findings and recommended actions will be presented to the board or appropriate committee for decision.</w:t>
      </w:r>
    </w:p>
    <w:p>
      <w:pPr>
        <w:keepNext/>
        <w:spacing w:after="160" w:before="360"/>
      </w:pPr>
      <w:r>
        <w:rPr>
          <w:rFonts w:ascii="Arial" w:cs="Arial" w:eastAsia="Arial" w:hAnsi="Arial"/>
          <w:b/>
          <w:bCs/>
          <w:color w:val="561217"/>
          <w:sz w:val="26"/>
          <w:szCs w:val="26"/>
        </w:rPr>
        <w:t xml:space="preserve">Non-Retaliation Protection</w:t>
      </w:r>
    </w:p>
    <w:p>
      <w:pPr>
        <w:spacing w:after="120" w:before="60" w:line="320"/>
        <w:jc w:val="both"/>
      </w:pPr>
      <w:r>
        <w:rPr>
          <w:rFonts w:ascii="Arial" w:cs="Arial" w:eastAsia="Arial" w:hAnsi="Arial"/>
          <w:color w:val="1F1E1E"/>
          <w:sz w:val="22"/>
          <w:szCs w:val="22"/>
        </w:rPr>
        <w:t xml:space="preserve">Holon Foundation strictly prohibits retaliation against any person who, in good faith, reports suspected misconduct or participates in an investigation. Retaliation includes but is not limited to:</w:t>
      </w:r>
    </w:p>
    <w:p>
      <w:pPr>
        <w:pStyle w:val="ListParagraph"/>
        <w:numPr>
          <w:ilvl w:val="0"/>
          <w:numId w:val="2"/>
        </w:numPr>
        <w:spacing w:after="40" w:before="40" w:line="300"/>
      </w:pPr>
      <w:r>
        <w:rPr>
          <w:rFonts w:ascii="Arial" w:cs="Arial" w:eastAsia="Arial" w:hAnsi="Arial"/>
          <w:color w:val="1F1E1E"/>
          <w:sz w:val="22"/>
          <w:szCs w:val="22"/>
        </w:rPr>
        <w:t xml:space="preserve">Termination, suspension, demotion, or reduction in duties</w:t>
      </w:r>
    </w:p>
    <w:p>
      <w:pPr>
        <w:pStyle w:val="ListParagraph"/>
        <w:numPr>
          <w:ilvl w:val="0"/>
          <w:numId w:val="2"/>
        </w:numPr>
        <w:spacing w:after="40" w:before="40" w:line="300"/>
      </w:pPr>
      <w:r>
        <w:rPr>
          <w:rFonts w:ascii="Arial" w:cs="Arial" w:eastAsia="Arial" w:hAnsi="Arial"/>
          <w:color w:val="1F1E1E"/>
          <w:sz w:val="22"/>
          <w:szCs w:val="22"/>
        </w:rPr>
        <w:t xml:space="preserve">Harassment, intimidation, or threats</w:t>
      </w:r>
    </w:p>
    <w:p>
      <w:pPr>
        <w:pStyle w:val="ListParagraph"/>
        <w:numPr>
          <w:ilvl w:val="0"/>
          <w:numId w:val="2"/>
        </w:numPr>
        <w:spacing w:after="40" w:before="40" w:line="300"/>
      </w:pPr>
      <w:r>
        <w:rPr>
          <w:rFonts w:ascii="Arial" w:cs="Arial" w:eastAsia="Arial" w:hAnsi="Arial"/>
          <w:color w:val="1F1E1E"/>
          <w:sz w:val="22"/>
          <w:szCs w:val="22"/>
        </w:rPr>
        <w:t xml:space="preserve">Exclusion from meetings, communications, or decision-making</w:t>
      </w:r>
    </w:p>
    <w:p>
      <w:pPr>
        <w:pStyle w:val="ListParagraph"/>
        <w:numPr>
          <w:ilvl w:val="0"/>
          <w:numId w:val="2"/>
        </w:numPr>
        <w:spacing w:after="40" w:before="40" w:line="300"/>
      </w:pPr>
      <w:r>
        <w:rPr>
          <w:rFonts w:ascii="Arial" w:cs="Arial" w:eastAsia="Arial" w:hAnsi="Arial"/>
          <w:color w:val="1F1E1E"/>
          <w:sz w:val="22"/>
          <w:szCs w:val="22"/>
        </w:rPr>
        <w:t xml:space="preserve">Negative performance evaluations based on the act of reporting</w:t>
      </w:r>
    </w:p>
    <w:p>
      <w:pPr>
        <w:pStyle w:val="ListParagraph"/>
        <w:numPr>
          <w:ilvl w:val="0"/>
          <w:numId w:val="2"/>
        </w:numPr>
        <w:spacing w:after="40" w:before="40" w:line="300"/>
      </w:pPr>
      <w:r>
        <w:rPr>
          <w:rFonts w:ascii="Arial" w:cs="Arial" w:eastAsia="Arial" w:hAnsi="Arial"/>
          <w:color w:val="1F1E1E"/>
          <w:sz w:val="22"/>
          <w:szCs w:val="22"/>
        </w:rPr>
        <w:t xml:space="preserve">Any other adverse action taken because of the report</w:t>
      </w:r>
    </w:p>
    <w:p>
      <w:pPr>
        <w:spacing w:after="120" w:before="60" w:line="320"/>
        <w:jc w:val="both"/>
      </w:pPr>
      <w:r>
        <w:rPr>
          <w:rFonts w:ascii="Arial" w:cs="Arial" w:eastAsia="Arial" w:hAnsi="Arial"/>
          <w:b/>
          <w:bCs/>
          <w:color w:val="1F1E1E"/>
          <w:sz w:val="22"/>
          <w:szCs w:val="22"/>
        </w:rPr>
        <w:t xml:space="preserve">For volunteers and contractors</w:t>
      </w:r>
      <w:r>
        <w:rPr>
          <w:rFonts w:ascii="Arial" w:cs="Arial" w:eastAsia="Arial" w:hAnsi="Arial"/>
          <w:color w:val="1F1E1E"/>
          <w:sz w:val="22"/>
          <w:szCs w:val="22"/>
        </w:rPr>
        <w:t xml:space="preserve">, prohibited retaliatory actions also include (without limitation): removal from volunteer assignments, non-renewal or cancellation of contracts, exclusion from Foundation events or training, public criticism, or denial of references that would otherwise have been provided.</w:t>
      </w:r>
    </w:p>
    <w:p>
      <w:pPr>
        <w:spacing w:after="120" w:before="60" w:line="320"/>
        <w:jc w:val="both"/>
      </w:pPr>
      <w:r>
        <w:rPr>
          <w:rFonts w:ascii="Arial" w:cs="Arial" w:eastAsia="Arial" w:hAnsi="Arial"/>
          <w:b/>
          <w:bCs/>
          <w:color w:val="1F1E1E"/>
          <w:sz w:val="22"/>
          <w:szCs w:val="22"/>
        </w:rPr>
        <w:t xml:space="preserve">Burden-shifting framework.</w:t>
      </w:r>
      <w:r>
        <w:rPr>
          <w:rFonts w:ascii="Arial" w:cs="Arial" w:eastAsia="Arial" w:hAnsi="Arial"/>
          <w:color w:val="1F1E1E"/>
          <w:sz w:val="22"/>
          <w:szCs w:val="22"/>
        </w:rPr>
        <w:t xml:space="preserve"> In any allegation of retaliation under this Policy, once the reporter makes a prima facie showing that the protected report was a contributing factor in the adverse action, the burden shifts to the Foundation to demonstrate by clear and convincing evidence that it would have taken the same action absent the protected report, consistent with the framework of Sarbanes-Oxley § 806 (18 U.S.C. § 1514A) as applied by analogy to this Policy.</w:t>
      </w:r>
    </w:p>
    <w:p>
      <w:pPr>
        <w:spacing w:after="120" w:before="60" w:line="320"/>
        <w:jc w:val="both"/>
      </w:pPr>
      <w:r>
        <w:rPr>
          <w:rFonts w:ascii="Arial" w:cs="Arial" w:eastAsia="Arial" w:hAnsi="Arial"/>
          <w:color w:val="1F1E1E"/>
          <w:sz w:val="22"/>
          <w:szCs w:val="22"/>
        </w:rPr>
        <w:t xml:space="preserve">Any person who engages in retaliation will be subject to disciplinary action, up to and including removal from the board or termination of employment.</w:t>
      </w:r>
    </w:p>
    <w:p>
      <w:pPr>
        <w:keepNext/>
        <w:spacing w:after="160" w:before="360"/>
      </w:pPr>
      <w:r>
        <w:rPr>
          <w:rFonts w:ascii="Arial" w:cs="Arial" w:eastAsia="Arial" w:hAnsi="Arial"/>
          <w:b/>
          <w:bCs/>
          <w:color w:val="561217"/>
          <w:sz w:val="26"/>
          <w:szCs w:val="26"/>
        </w:rPr>
        <w:t xml:space="preserve">Good Faith Requirement</w:t>
      </w:r>
    </w:p>
    <w:p>
      <w:pPr>
        <w:spacing w:after="120" w:before="60" w:line="320"/>
        <w:jc w:val="both"/>
      </w:pPr>
      <w:r>
        <w:rPr>
          <w:rFonts w:ascii="Arial" w:cs="Arial" w:eastAsia="Arial" w:hAnsi="Arial"/>
          <w:color w:val="1F1E1E"/>
          <w:sz w:val="22"/>
          <w:szCs w:val="22"/>
        </w:rPr>
        <w:t xml:space="preserve">Reports must be made in good faith and based on a reasonable belief that wrongdoing has occurred. Reports that are knowingly false, frivolous, or made with malicious intent are not protected under this policy and may result in disciplinary action.</w:t>
      </w:r>
    </w:p>
    <w:p>
      <w:pPr>
        <w:keepNext/>
        <w:spacing w:after="160" w:before="360"/>
      </w:pPr>
      <w:r>
        <w:rPr>
          <w:rFonts w:ascii="Arial" w:cs="Arial" w:eastAsia="Arial" w:hAnsi="Arial"/>
          <w:b/>
          <w:bCs/>
          <w:color w:val="561217"/>
          <w:sz w:val="26"/>
          <w:szCs w:val="26"/>
        </w:rPr>
        <w:t xml:space="preserve">Record Keeping</w:t>
      </w:r>
    </w:p>
    <w:p>
      <w:pPr>
        <w:spacing w:after="120" w:before="60" w:line="320"/>
        <w:jc w:val="both"/>
      </w:pPr>
      <w:r>
        <w:rPr>
          <w:rFonts w:ascii="Arial" w:cs="Arial" w:eastAsia="Arial" w:hAnsi="Arial"/>
          <w:color w:val="1F1E1E"/>
          <w:sz w:val="22"/>
          <w:szCs w:val="22"/>
        </w:rPr>
        <w:t xml:space="preserve">All reports and investigation records will be maintained in a secure, confidential file for a minimum of seven (7) years. Access is restricted to the Governance Committee Chair (or, for financial-misconduct reports, the Audit Committee Chair), the investigating party, and outside legal counsel. Upon expiration of the seven-year retention period, files shall be destroyed in accordance with Holon Foundation Policy No. 06 (Document Retention and Destruction Policy), with a destruction certification entered into the Whistleblower Register maintained by the Secretary of the Board.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Field</w:t>
            </w:r>
          </w:p>
        </w:tc>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Details</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Name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Signature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Date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bl>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05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05  ·  WHISTLEBLOWER PROTECTION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Whistleblower Protection Policy</dc:title>
  <dc:creator>Holon Foundation</dc:creator>
  <dc:description>Holon Foundation — Policy No. 05</dc:description>
  <cp:lastModifiedBy>Un-named</cp:lastModifiedBy>
  <cp:revision>1</cp:revision>
  <dcterms:created xsi:type="dcterms:W3CDTF">2026-05-21T02:41:41.066Z</dcterms:created>
  <dcterms:modified xsi:type="dcterms:W3CDTF">2026-05-21T02:41:41.066Z</dcterms:modified>
</cp:coreProperties>
</file>

<file path=docProps/custom.xml><?xml version="1.0" encoding="utf-8"?>
<Properties xmlns="http://schemas.openxmlformats.org/officeDocument/2006/custom-properties" xmlns:vt="http://schemas.openxmlformats.org/officeDocument/2006/docPropsVTypes"/>
</file>