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04</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Ethics and Conflict of Interest Policy</w:t>
      </w:r>
    </w:p>
    <w:p>
      <w:pPr>
        <w:spacing w:after="0" w:before="0"/>
        <w:jc w:val="center"/>
      </w:pPr>
      <w:r>
        <w:rPr>
          <w:rFonts w:ascii="Arial" w:cs="Arial" w:eastAsia="Arial" w:hAnsi="Arial"/>
          <w:i/>
          <w:iCs/>
          <w:color w:val="4A4A4A"/>
          <w:sz w:val="20"/>
          <w:szCs w:val="20"/>
        </w:rPr>
        <w:t xml:space="preserve">Holon Foundation — Policy No. 04</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IRC § 4958 "Disqualified Person" definition in § B and the three-prong </w:t>
      </w:r>
      <w:r>
        <w:rPr>
          <w:rFonts w:ascii="Arial" w:cs="Arial" w:eastAsia="Arial" w:hAnsi="Arial"/>
          <w:b/>
          <w:bCs/>
          <w:color w:val="1F1E1E"/>
          <w:sz w:val="22"/>
          <w:szCs w:val="22"/>
        </w:rPr>
        <w:t xml:space="preserve">Rebuttable Presumption of Reasonableness</w:t>
      </w:r>
      <w:r>
        <w:rPr>
          <w:rFonts w:ascii="Arial" w:cs="Arial" w:eastAsia="Arial" w:hAnsi="Arial"/>
          <w:color w:val="1F1E1E"/>
          <w:sz w:val="22"/>
          <w:szCs w:val="22"/>
        </w:rPr>
        <w:t xml:space="preserve"> procedure in § D.8, defending the Foundation against intermediate-sanctions excise tax exposure on insider transactions.</w:t>
      </w:r>
    </w:p>
    <w:p>
      <w:pPr>
        <w:pStyle w:val="ListParagraph"/>
        <w:numPr>
          <w:ilvl w:val="0"/>
          <w:numId w:val="2"/>
        </w:numPr>
        <w:spacing w:after="40" w:before="40" w:line="300"/>
      </w:pPr>
      <w:r>
        <w:rPr>
          <w:rFonts w:ascii="Arial" w:cs="Arial" w:eastAsia="Arial" w:hAnsi="Arial"/>
          <w:color w:val="1F1E1E"/>
          <w:sz w:val="22"/>
          <w:szCs w:val="22"/>
        </w:rPr>
        <w:t xml:space="preserve">Broadened Family Member definition to align with IRC § 4958(f)(4), and expanded the Annual Disclosure Form in § G to capture family-member financial interests, pre-existing relationships, and explicit receipt acknowledgment.</w:t>
      </w:r>
    </w:p>
    <w:p>
      <w:pPr>
        <w:pStyle w:val="ListParagraph"/>
        <w:numPr>
          <w:ilvl w:val="0"/>
          <w:numId w:val="2"/>
        </w:numPr>
        <w:spacing w:after="40" w:before="40" w:line="300"/>
      </w:pPr>
      <w:r>
        <w:rPr>
          <w:rFonts w:ascii="Arial" w:cs="Arial" w:eastAsia="Arial" w:hAnsi="Arial"/>
          <w:color w:val="1F1E1E"/>
          <w:sz w:val="22"/>
          <w:szCs w:val="22"/>
        </w:rPr>
        <w:t xml:space="preserve">Replaced the flat $100 gift threshold with a fully procedural Gifts standard in § E, with documented accumulation, exceptions, return/disclosure protocol, and a Gift Register maintained by the Governance Committee.</w:t>
      </w:r>
    </w:p>
    <w:p>
      <w:pPr>
        <w:pStyle w:val="ListParagraph"/>
        <w:numPr>
          <w:ilvl w:val="0"/>
          <w:numId w:val="2"/>
        </w:numPr>
        <w:spacing w:after="40" w:before="40" w:line="300"/>
      </w:pPr>
      <w:r>
        <w:rPr>
          <w:rFonts w:ascii="Arial" w:cs="Arial" w:eastAsia="Arial" w:hAnsi="Arial"/>
          <w:color w:val="1F1E1E"/>
          <w:sz w:val="22"/>
          <w:szCs w:val="22"/>
        </w:rPr>
        <w:t xml:space="preserve">Added Graduated Remedies subsection (§ F.2) with notice-and-response due process, calibrated to gravity of violation, with cross-reference to bylaws removal authority.</w:t>
      </w:r>
    </w:p>
    <w:p>
      <w:pPr>
        <w:pStyle w:val="ListParagraph"/>
        <w:numPr>
          <w:ilvl w:val="0"/>
          <w:numId w:val="2"/>
        </w:numPr>
        <w:spacing w:after="40" w:before="40" w:line="300"/>
      </w:pPr>
      <w:r>
        <w:rPr>
          <w:rFonts w:ascii="Arial" w:cs="Arial" w:eastAsia="Arial" w:hAnsi="Arial"/>
          <w:color w:val="1F1E1E"/>
          <w:sz w:val="22"/>
          <w:szCs w:val="22"/>
        </w:rPr>
        <w:t xml:space="preserve">Cross-referenced Policy No. 05 (Whistleblower Protection) and Policy No. 09 (Confidentiality Agreement) at the natural points; updated header metadata to a resolution-based adoption block.</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Section A: Purpose and Scope</w:t>
      </w:r>
    </w:p>
    <w:p>
      <w:pPr>
        <w:spacing w:after="120" w:before="60" w:line="320"/>
        <w:jc w:val="both"/>
      </w:pPr>
      <w:r>
        <w:rPr>
          <w:rFonts w:ascii="Arial" w:cs="Arial" w:eastAsia="Arial" w:hAnsi="Arial"/>
          <w:color w:val="1F1E1E"/>
          <w:sz w:val="22"/>
          <w:szCs w:val="22"/>
        </w:rPr>
        <w:t xml:space="preserve">Holon Foundation is committed to the highest standards of ethical conduct. This policy protects the organization's tax-exempt status, ensures compliance with IRS requirements for 501(c)(3) organizations, and maintains the public trust essential to our conservation mission. It applies to all directors, officers, key employees, and persons with delegated authority (collectively, "</w:t>
      </w:r>
      <w:r>
        <w:rPr>
          <w:rFonts w:ascii="Arial" w:cs="Arial" w:eastAsia="Arial" w:hAnsi="Arial"/>
          <w:b/>
          <w:bCs/>
          <w:color w:val="1F1E1E"/>
          <w:sz w:val="22"/>
          <w:szCs w:val="22"/>
        </w:rPr>
        <w:t xml:space="preserve">Covered Persons</w:t>
      </w:r>
      <w:r>
        <w:rPr>
          <w:rFonts w:ascii="Arial" w:cs="Arial" w:eastAsia="Arial" w:hAnsi="Arial"/>
          <w:color w:val="1F1E1E"/>
          <w:sz w:val="22"/>
          <w:szCs w:val="22"/>
        </w:rPr>
        <w:t xml:space="preserve">") and extends to family members, business associates, and entities in which Covered Persons hold financial interests.</w:t>
      </w:r>
    </w:p>
    <w:p>
      <w:pPr>
        <w:spacing w:after="120" w:before="60" w:line="320"/>
        <w:jc w:val="both"/>
      </w:pPr>
      <w:r>
        <w:rPr>
          <w:rFonts w:ascii="Arial" w:cs="Arial" w:eastAsia="Arial" w:hAnsi="Arial"/>
          <w:color w:val="1F1E1E"/>
          <w:sz w:val="22"/>
          <w:szCs w:val="22"/>
        </w:rPr>
        <w:t xml:space="preserve">This Policy is adopted with reference to: (a) Internal Revenue Code § 501(c)(3) operational test and the private-benefit / inurement prohibitions; (b) Internal Revenue Code § 4958 (intermediate sanctions / excess benefit transactions) and the implementing regulations at Treas. Reg. § 53.4958; (c) IRS Form 990 governance disclosures at Part VI Lines 12a–c; (d) the IRS sample Conflict of Interest Policy at Appendix A of the Form 1023 instructions; (e) BoardSource Recommended Governance Practices; and (f) BBB Wise Giving Alliance Standards for Charity Accountability.</w:t>
      </w:r>
    </w:p>
    <w:p>
      <w:pPr>
        <w:keepNext/>
        <w:spacing w:after="160" w:before="360"/>
      </w:pPr>
      <w:r>
        <w:rPr>
          <w:rFonts w:ascii="Arial" w:cs="Arial" w:eastAsia="Arial" w:hAnsi="Arial"/>
          <w:b/>
          <w:bCs/>
          <w:color w:val="561217"/>
          <w:sz w:val="26"/>
          <w:szCs w:val="26"/>
        </w:rPr>
        <w:t xml:space="preserve">Section B: Definitions</w:t>
      </w:r>
    </w:p>
    <w:p>
      <w:pPr>
        <w:spacing w:after="120" w:before="60" w:line="320"/>
        <w:jc w:val="both"/>
      </w:pPr>
      <w:r>
        <w:rPr>
          <w:rFonts w:ascii="Arial" w:cs="Arial" w:eastAsia="Arial" w:hAnsi="Arial"/>
          <w:b/>
          <w:bCs/>
          <w:color w:val="1F1E1E"/>
          <w:sz w:val="22"/>
          <w:szCs w:val="22"/>
        </w:rPr>
        <w:t xml:space="preserve">Financial Interest.</w:t>
      </w:r>
      <w:r>
        <w:rPr>
          <w:rFonts w:ascii="Arial" w:cs="Arial" w:eastAsia="Arial" w:hAnsi="Arial"/>
          <w:color w:val="1F1E1E"/>
          <w:sz w:val="22"/>
          <w:szCs w:val="22"/>
        </w:rPr>
        <w:t xml:space="preserve"> A Covered Person has a financial interest if they have, directly or indirectly: (a) an ownership or investment interest in any entity with which Holon Foundation has a transaction or arrangement; (b) a compensation arrangement with any entity or individual with which Holon Foundation has a transaction or arrangement; or (c) a potential ownership or investment interest in, or compensation arrangement with, any entity or individual with which Holon Foundation is negotiating a transaction or arrangement.</w:t>
      </w:r>
    </w:p>
    <w:p>
      <w:pPr>
        <w:spacing w:after="120" w:before="60" w:line="320"/>
        <w:jc w:val="both"/>
      </w:pPr>
      <w:r>
        <w:rPr>
          <w:rFonts w:ascii="Arial" w:cs="Arial" w:eastAsia="Arial" w:hAnsi="Arial"/>
          <w:b/>
          <w:bCs/>
          <w:color w:val="1F1E1E"/>
          <w:sz w:val="22"/>
          <w:szCs w:val="22"/>
        </w:rPr>
        <w:t xml:space="preserve">Conflict of Interest.</w:t>
      </w:r>
      <w:r>
        <w:rPr>
          <w:rFonts w:ascii="Arial" w:cs="Arial" w:eastAsia="Arial" w:hAnsi="Arial"/>
          <w:color w:val="1F1E1E"/>
          <w:sz w:val="22"/>
          <w:szCs w:val="22"/>
        </w:rPr>
        <w:t xml:space="preserve"> A conflict of interest exists when a Covered Person's financial interest, family relationship, or outside commitment could influence or appear to influence their judgment, decisions, or actions on behalf of Holon Foundation.</w:t>
      </w:r>
    </w:p>
    <w:p>
      <w:pPr>
        <w:spacing w:after="120" w:before="60" w:line="320"/>
        <w:jc w:val="both"/>
      </w:pPr>
      <w:r>
        <w:rPr>
          <w:rFonts w:ascii="Arial" w:cs="Arial" w:eastAsia="Arial" w:hAnsi="Arial"/>
          <w:b/>
          <w:bCs/>
          <w:color w:val="1F1E1E"/>
          <w:sz w:val="22"/>
          <w:szCs w:val="22"/>
        </w:rPr>
        <w:t xml:space="preserve">Related Party.</w:t>
      </w:r>
      <w:r>
        <w:rPr>
          <w:rFonts w:ascii="Arial" w:cs="Arial" w:eastAsia="Arial" w:hAnsi="Arial"/>
          <w:color w:val="1F1E1E"/>
          <w:sz w:val="22"/>
          <w:szCs w:val="22"/>
        </w:rPr>
        <w:t xml:space="preserve"> Any entity in which a Covered Person or their family member has a financial interest, serves as an officer or director, or exercises significant influence.</w:t>
      </w:r>
    </w:p>
    <w:p>
      <w:pPr>
        <w:spacing w:after="120" w:before="60" w:line="320"/>
        <w:jc w:val="both"/>
      </w:pPr>
      <w:r>
        <w:rPr>
          <w:rFonts w:ascii="Arial" w:cs="Arial" w:eastAsia="Arial" w:hAnsi="Arial"/>
          <w:b/>
          <w:bCs/>
          <w:color w:val="1F1E1E"/>
          <w:sz w:val="22"/>
          <w:szCs w:val="22"/>
        </w:rPr>
        <w:t xml:space="preserve">Family Member.</w:t>
      </w:r>
      <w:r>
        <w:rPr>
          <w:rFonts w:ascii="Arial" w:cs="Arial" w:eastAsia="Arial" w:hAnsi="Arial"/>
          <w:color w:val="1F1E1E"/>
          <w:sz w:val="22"/>
          <w:szCs w:val="22"/>
        </w:rPr>
        <w:t xml:space="preserve"> Spouse, domestic partner, ancestors, descendants (including by adoption), siblings (including by half-blood), and the spouses of any of the foregoing; or any person sharing the household of a Covered Person. This definition is at least as broad as IRC § 4958(f)(4) and Treas. Reg. § 53.4958-3(b)(1).</w:t>
      </w:r>
    </w:p>
    <w:p>
      <w:pPr>
        <w:spacing w:after="120" w:before="60" w:line="320"/>
        <w:jc w:val="both"/>
      </w:pPr>
      <w:r>
        <w:rPr>
          <w:rFonts w:ascii="Arial" w:cs="Arial" w:eastAsia="Arial" w:hAnsi="Arial"/>
          <w:b/>
          <w:bCs/>
          <w:color w:val="1F1E1E"/>
          <w:sz w:val="22"/>
          <w:szCs w:val="22"/>
        </w:rPr>
        <w:t xml:space="preserve">Disqualified Person.</w:t>
      </w:r>
      <w:r>
        <w:rPr>
          <w:rFonts w:ascii="Arial" w:cs="Arial" w:eastAsia="Arial" w:hAnsi="Arial"/>
          <w:color w:val="1F1E1E"/>
          <w:sz w:val="22"/>
          <w:szCs w:val="22"/>
        </w:rPr>
        <w:t xml:space="preserve"> Any person who was, at any time during the five-year period ending on the date of any transaction with the Foundation, in a position to exercise substantial influence over the affairs of the Foundation, including (without limitation) directors, officers, founders, substantial contributors, and the Family Members and 35%-controlled entities of any of the foregoing, all within the meaning of Internal Revenue Code § 4958(f) and Treasury Regulations § 53.4958-3. All Disqualified Persons are Covered Persons under this Policy.</w:t>
      </w:r>
    </w:p>
    <w:p>
      <w:pPr>
        <w:keepNext/>
        <w:spacing w:after="160" w:before="360"/>
      </w:pPr>
      <w:r>
        <w:rPr>
          <w:rFonts w:ascii="Arial" w:cs="Arial" w:eastAsia="Arial" w:hAnsi="Arial"/>
          <w:b/>
          <w:bCs/>
          <w:color w:val="561217"/>
          <w:sz w:val="26"/>
          <w:szCs w:val="26"/>
        </w:rPr>
        <w:t xml:space="preserve">Section C: Disclosure Requirements</w:t>
      </w:r>
    </w:p>
    <w:p>
      <w:pPr>
        <w:spacing w:after="120" w:before="60" w:line="320"/>
        <w:jc w:val="both"/>
      </w:pPr>
      <w:r>
        <w:rPr>
          <w:rFonts w:ascii="Arial" w:cs="Arial" w:eastAsia="Arial" w:hAnsi="Arial"/>
          <w:color w:val="1F1E1E"/>
          <w:sz w:val="22"/>
          <w:szCs w:val="22"/>
        </w:rPr>
        <w:t xml:space="preserve">Covered Persons must disclose potential conflicts through the following mechanisms:</w:t>
      </w:r>
    </w:p>
    <w:p>
      <w:pPr>
        <w:spacing w:after="120" w:before="60" w:line="320"/>
        <w:jc w:val="both"/>
      </w:pPr>
      <w:r>
        <w:rPr>
          <w:rFonts w:ascii="Arial" w:cs="Arial" w:eastAsia="Arial" w:hAnsi="Arial"/>
          <w:b/>
          <w:bCs/>
          <w:color w:val="1F1E1E"/>
          <w:sz w:val="22"/>
          <w:szCs w:val="22"/>
        </w:rPr>
        <w:t xml:space="preserve">Annual Disclosure.</w:t>
      </w:r>
      <w:r>
        <w:rPr>
          <w:rFonts w:ascii="Arial" w:cs="Arial" w:eastAsia="Arial" w:hAnsi="Arial"/>
          <w:color w:val="1F1E1E"/>
          <w:sz w:val="22"/>
          <w:szCs w:val="22"/>
        </w:rPr>
        <w:t xml:space="preserve"> Complete the Annual Conflict of Interest Disclosure Form (Schedule A) within 30 days of appointment and annually thereafter at the beginning of each fiscal year.</w:t>
      </w:r>
    </w:p>
    <w:p>
      <w:pPr>
        <w:spacing w:after="120" w:before="60" w:line="320"/>
        <w:jc w:val="both"/>
      </w:pPr>
      <w:r>
        <w:rPr>
          <w:rFonts w:ascii="Arial" w:cs="Arial" w:eastAsia="Arial" w:hAnsi="Arial"/>
          <w:b/>
          <w:bCs/>
          <w:color w:val="1F1E1E"/>
          <w:sz w:val="22"/>
          <w:szCs w:val="22"/>
        </w:rPr>
        <w:t xml:space="preserve">Real-Time Disclosure.</w:t>
      </w:r>
      <w:r>
        <w:rPr>
          <w:rFonts w:ascii="Arial" w:cs="Arial" w:eastAsia="Arial" w:hAnsi="Arial"/>
          <w:color w:val="1F1E1E"/>
          <w:sz w:val="22"/>
          <w:szCs w:val="22"/>
        </w:rPr>
        <w:t xml:space="preserve"> Disclose any new conflict or potential conflict as soon as it arises, in writing to the Board Chair or Governance Committee Chair.</w:t>
      </w:r>
    </w:p>
    <w:p>
      <w:pPr>
        <w:spacing w:after="120" w:before="60" w:line="320"/>
        <w:jc w:val="both"/>
      </w:pPr>
      <w:r>
        <w:rPr>
          <w:rFonts w:ascii="Arial" w:cs="Arial" w:eastAsia="Arial" w:hAnsi="Arial"/>
          <w:b/>
          <w:bCs/>
          <w:color w:val="1F1E1E"/>
          <w:sz w:val="22"/>
          <w:szCs w:val="22"/>
        </w:rPr>
        <w:t xml:space="preserve">Meeting Disclosure.</w:t>
      </w:r>
      <w:r>
        <w:rPr>
          <w:rFonts w:ascii="Arial" w:cs="Arial" w:eastAsia="Arial" w:hAnsi="Arial"/>
          <w:color w:val="1F1E1E"/>
          <w:sz w:val="22"/>
          <w:szCs w:val="22"/>
        </w:rPr>
        <w:t xml:space="preserve"> At the beginning of any board or committee meeting where a matter involves a potential conflict, the affected Covered Person must disclose the conflict before discussion begins.</w:t>
      </w:r>
    </w:p>
    <w:p>
      <w:pPr>
        <w:spacing w:after="120" w:before="60" w:line="320"/>
        <w:jc w:val="both"/>
      </w:pPr>
      <w:r>
        <w:rPr>
          <w:rFonts w:ascii="Arial" w:cs="Arial" w:eastAsia="Arial" w:hAnsi="Arial"/>
          <w:b/>
          <w:bCs/>
          <w:color w:val="1F1E1E"/>
          <w:sz w:val="22"/>
          <w:szCs w:val="22"/>
        </w:rPr>
        <w:t xml:space="preserve">Transaction Disclosure.</w:t>
      </w:r>
      <w:r>
        <w:rPr>
          <w:rFonts w:ascii="Arial" w:cs="Arial" w:eastAsia="Arial" w:hAnsi="Arial"/>
          <w:color w:val="1F1E1E"/>
          <w:sz w:val="22"/>
          <w:szCs w:val="22"/>
        </w:rPr>
        <w:t xml:space="preserve"> Before any transaction between Holon Foundation and a Related Party, the Covered Person must provide full written disclosure of the nature and extent of their interest.</w:t>
      </w:r>
    </w:p>
    <w:p>
      <w:pPr>
        <w:keepNext/>
        <w:spacing w:after="160" w:before="360"/>
      </w:pPr>
      <w:r>
        <w:rPr>
          <w:rFonts w:ascii="Arial" w:cs="Arial" w:eastAsia="Arial" w:hAnsi="Arial"/>
          <w:b/>
          <w:bCs/>
          <w:color w:val="561217"/>
          <w:sz w:val="26"/>
          <w:szCs w:val="26"/>
        </w:rPr>
        <w:t xml:space="preserve">Section D: Procedures for Addressing Conflicts</w:t>
      </w:r>
    </w:p>
    <w:p>
      <w:pPr>
        <w:spacing w:after="120" w:before="60" w:line="320"/>
        <w:jc w:val="both"/>
      </w:pPr>
      <w:r>
        <w:rPr>
          <w:rFonts w:ascii="Arial" w:cs="Arial" w:eastAsia="Arial" w:hAnsi="Arial"/>
          <w:color w:val="1F1E1E"/>
          <w:sz w:val="22"/>
          <w:szCs w:val="22"/>
        </w:rPr>
        <w:t xml:space="preserve">When a conflict or potential conflict is identified:</w:t>
      </w:r>
    </w:p>
    <w:p>
      <w:pPr>
        <w:spacing w:after="120" w:before="60" w:line="320"/>
        <w:jc w:val="both"/>
      </w:pPr>
      <w:r>
        <w:rPr>
          <w:rFonts w:ascii="Arial" w:cs="Arial" w:eastAsia="Arial" w:hAnsi="Arial"/>
          <w:color w:val="1F1E1E"/>
          <w:sz w:val="22"/>
          <w:szCs w:val="22"/>
        </w:rPr>
        <w:t xml:space="preserve">1. The interested Covered Person must disclose all material facts to the board or relevant committee. 2. The interested person must leave the room during discussion and vote on the matter, unless the board requests information from the interested person. 3. The remaining board members must determine whether a conflict exists and, if so, whether the proposed transaction or arrangement is in Holon Foundation's best interest and is fair and reasonable. 4. The board may appoint a disinterested committee to investigate alternatives and present findings. 5. After exercising due diligence, the board shall determine by majority vote of disinterested directors whether to approve the transaction. 6. If a more advantageous transaction is not reasonably possible, the board shall determine whether the transaction is in the organization's best interest, for its own benefit, and is fair and reasonable. 7. The minutes of the meeting shall document: the conflict disclosed, the discussion, the names of persons present, the vote, and the basis for the decision.</w:t>
      </w:r>
    </w:p>
    <w:p>
      <w:pPr>
        <w:spacing w:after="120" w:before="60" w:line="320"/>
        <w:jc w:val="both"/>
      </w:pPr>
      <w:r>
        <w:rPr>
          <w:rFonts w:ascii="Arial" w:cs="Arial" w:eastAsia="Arial" w:hAnsi="Arial"/>
          <w:b/>
          <w:bCs/>
          <w:color w:val="1F1E1E"/>
          <w:sz w:val="22"/>
          <w:szCs w:val="22"/>
        </w:rPr>
        <w:t xml:space="preserve">D.8 — Rebuttable Presumption (IRC § 4958).</w:t>
      </w:r>
      <w:r>
        <w:rPr>
          <w:rFonts w:ascii="Arial" w:cs="Arial" w:eastAsia="Arial" w:hAnsi="Arial"/>
          <w:color w:val="1F1E1E"/>
          <w:sz w:val="22"/>
          <w:szCs w:val="22"/>
        </w:rPr>
        <w:t xml:space="preserve"> For any transaction subject to IRC § 4958, including compensation arrangements with any Disqualified Person and any transfer of property to or from a Disqualified Person, the Foundation shall:</w:t>
      </w:r>
    </w:p>
    <w:p>
      <w:pPr>
        <w:spacing w:after="120" w:before="60" w:line="320"/>
        <w:jc w:val="both"/>
      </w:pPr>
      <w:r>
        <w:rPr>
          <w:rFonts w:ascii="Arial" w:cs="Arial" w:eastAsia="Arial" w:hAnsi="Arial"/>
          <w:color w:val="1F1E1E"/>
          <w:sz w:val="22"/>
          <w:szCs w:val="22"/>
        </w:rPr>
        <w:t xml:space="preserve">   (i) approve the transaction in advance by a body composed entirely of individuals who do not have a conflict of interest with respect to the transaction;</w:t>
      </w:r>
    </w:p>
    <w:p>
      <w:pPr>
        <w:spacing w:after="120" w:before="60" w:line="320"/>
        <w:jc w:val="both"/>
      </w:pPr>
      <w:r>
        <w:rPr>
          <w:rFonts w:ascii="Arial" w:cs="Arial" w:eastAsia="Arial" w:hAnsi="Arial"/>
          <w:color w:val="1F1E1E"/>
          <w:sz w:val="22"/>
          <w:szCs w:val="22"/>
        </w:rPr>
        <w:t xml:space="preserve">   (ii) obtain and rely upon appropriate comparability data prior to approval (including, where applicable, compensation surveys, independent appraisals, or actual offers from competing organizations);</w:t>
      </w:r>
    </w:p>
    <w:p>
      <w:pPr>
        <w:spacing w:after="120" w:before="60" w:line="320"/>
        <w:jc w:val="both"/>
      </w:pPr>
      <w:r>
        <w:rPr>
          <w:rFonts w:ascii="Arial" w:cs="Arial" w:eastAsia="Arial" w:hAnsi="Arial"/>
          <w:color w:val="1F1E1E"/>
          <w:sz w:val="22"/>
          <w:szCs w:val="22"/>
        </w:rPr>
        <w:t xml:space="preserve">   (iii) adequately and contemporaneously document the basis for its determination in the minutes of the meeting, including the terms approved, the comparability data relied upon, the members present and voting, and the actions of any member with a conflict of interest.</w:t>
      </w:r>
    </w:p>
    <w:p>
      <w:pPr>
        <w:spacing w:after="120" w:before="60" w:line="320"/>
        <w:jc w:val="both"/>
      </w:pPr>
      <w:r>
        <w:rPr>
          <w:rFonts w:ascii="Arial" w:cs="Arial" w:eastAsia="Arial" w:hAnsi="Arial"/>
          <w:color w:val="1F1E1E"/>
          <w:sz w:val="22"/>
          <w:szCs w:val="22"/>
        </w:rPr>
        <w:t xml:space="preserve">Documentation under D.8 shall be completed before the later of the next meeting of the body or sixty (60) days after the final action.</w:t>
      </w:r>
    </w:p>
    <w:p>
      <w:pPr>
        <w:keepNext/>
        <w:spacing w:after="160" w:before="360"/>
      </w:pPr>
      <w:r>
        <w:rPr>
          <w:rFonts w:ascii="Arial" w:cs="Arial" w:eastAsia="Arial" w:hAnsi="Arial"/>
          <w:b/>
          <w:bCs/>
          <w:color w:val="561217"/>
          <w:sz w:val="26"/>
          <w:szCs w:val="26"/>
        </w:rPr>
        <w:t xml:space="preserve">Section E: Prohibited Activities</w:t>
      </w:r>
    </w:p>
    <w:p>
      <w:pPr>
        <w:spacing w:after="120" w:before="60" w:line="320"/>
        <w:jc w:val="both"/>
      </w:pPr>
      <w:r>
        <w:rPr>
          <w:rFonts w:ascii="Arial" w:cs="Arial" w:eastAsia="Arial" w:hAnsi="Arial"/>
          <w:color w:val="1F1E1E"/>
          <w:sz w:val="22"/>
          <w:szCs w:val="22"/>
        </w:rPr>
        <w:t xml:space="preserve">No Covered Person shall:</w:t>
      </w:r>
    </w:p>
    <w:p>
      <w:pPr>
        <w:pStyle w:val="ListParagraph"/>
        <w:numPr>
          <w:ilvl w:val="0"/>
          <w:numId w:val="2"/>
        </w:numPr>
        <w:spacing w:after="40" w:before="40" w:line="300"/>
      </w:pPr>
      <w:r>
        <w:rPr>
          <w:rFonts w:ascii="Arial" w:cs="Arial" w:eastAsia="Arial" w:hAnsi="Arial"/>
          <w:color w:val="1F1E1E"/>
          <w:sz w:val="22"/>
          <w:szCs w:val="22"/>
        </w:rPr>
        <w:t xml:space="preserve">Use their position to obtain financial gain for themselves, family members, or business associates at Holon Foundation's expense</w:t>
      </w:r>
    </w:p>
    <w:p>
      <w:pPr>
        <w:pStyle w:val="ListParagraph"/>
        <w:numPr>
          <w:ilvl w:val="0"/>
          <w:numId w:val="2"/>
        </w:numPr>
        <w:spacing w:after="40" w:before="40" w:line="300"/>
      </w:pPr>
      <w:r>
        <w:rPr>
          <w:rFonts w:ascii="Arial" w:cs="Arial" w:eastAsia="Arial" w:hAnsi="Arial"/>
          <w:color w:val="1F1E1E"/>
          <w:sz w:val="22"/>
          <w:szCs w:val="22"/>
        </w:rPr>
        <w:t xml:space="preserve">Use confidential information obtained through their role for personal advantage, consistent with Holon Foundation Policy No. 09 (Confidentiality Agreement)</w:t>
      </w:r>
    </w:p>
    <w:p>
      <w:pPr>
        <w:pStyle w:val="ListParagraph"/>
        <w:numPr>
          <w:ilvl w:val="0"/>
          <w:numId w:val="2"/>
        </w:numPr>
        <w:spacing w:after="40" w:before="40" w:line="300"/>
      </w:pPr>
      <w:r>
        <w:rPr>
          <w:rFonts w:ascii="Arial" w:cs="Arial" w:eastAsia="Arial" w:hAnsi="Arial"/>
          <w:color w:val="1F1E1E"/>
          <w:sz w:val="22"/>
          <w:szCs w:val="22"/>
        </w:rPr>
        <w:t xml:space="preserve">Compete with Holon Foundation for business opportunities, grants, or partnerships</w:t>
      </w:r>
    </w:p>
    <w:p>
      <w:pPr>
        <w:pStyle w:val="ListParagraph"/>
        <w:numPr>
          <w:ilvl w:val="0"/>
          <w:numId w:val="2"/>
        </w:numPr>
        <w:spacing w:after="40" w:before="40" w:line="300"/>
      </w:pPr>
      <w:r>
        <w:rPr>
          <w:rFonts w:ascii="Arial" w:cs="Arial" w:eastAsia="Arial" w:hAnsi="Arial"/>
          <w:color w:val="1F1E1E"/>
          <w:sz w:val="22"/>
          <w:szCs w:val="22"/>
        </w:rPr>
        <w:t xml:space="preserve">Serve simultaneously on the board of a competing organization without disclosure and board approval</w:t>
      </w:r>
    </w:p>
    <w:p>
      <w:pPr>
        <w:pStyle w:val="ListParagraph"/>
        <w:numPr>
          <w:ilvl w:val="0"/>
          <w:numId w:val="2"/>
        </w:numPr>
        <w:spacing w:after="40" w:before="40" w:line="300"/>
      </w:pPr>
      <w:r>
        <w:rPr>
          <w:rFonts w:ascii="Arial" w:cs="Arial" w:eastAsia="Arial" w:hAnsi="Arial"/>
          <w:color w:val="1F1E1E"/>
          <w:sz w:val="22"/>
          <w:szCs w:val="22"/>
        </w:rPr>
        <w:t xml:space="preserve">Direct organizational resources to benefit personal interests or related parties without proper approval</w:t>
      </w:r>
    </w:p>
    <w:p>
      <w:pPr>
        <w:spacing w:after="120" w:before="60" w:line="320"/>
        <w:jc w:val="both"/>
      </w:pPr>
      <w:r>
        <w:rPr>
          <w:rFonts w:ascii="Arial" w:cs="Arial" w:eastAsia="Arial" w:hAnsi="Arial"/>
          <w:b/>
          <w:bCs/>
          <w:color w:val="1F1E1E"/>
          <w:sz w:val="22"/>
          <w:szCs w:val="22"/>
        </w:rPr>
        <w:t xml:space="preserve">E.6 — Gifts from Persons Doing Business with the Foundation.</w:t>
      </w:r>
      <w:r>
        <w:rPr>
          <w:rFonts w:ascii="Arial" w:cs="Arial" w:eastAsia="Arial" w:hAnsi="Arial"/>
          <w:color w:val="1F1E1E"/>
          <w:sz w:val="22"/>
          <w:szCs w:val="22"/>
        </w:rPr>
        <w:t xml:space="preserve"> No Covered Person may accept gifts, meals, entertainment, or other things of value (collectively, "Gifts") aggregating in excess of one hundred dollars ($100) per calendar year from any single person or entity doing business with or seeking to do business with the Foundation. Excluded from this threshold are: (i) Gifts of merely nominal value bearing a giver's logo; (ii) meals consumed in the giver's presence at conferences, industry events, or Foundation business meetings; and (iii) honoraria declined or directed to the Foundation. Any Gift exceeding the threshold shall be: (a) declined or returned, or (b) accepted on behalf of the Foundation and surrendered to the Treasurer for entry into the </w:t>
      </w:r>
      <w:r>
        <w:rPr>
          <w:rFonts w:ascii="Arial" w:cs="Arial" w:eastAsia="Arial" w:hAnsi="Arial"/>
          <w:b/>
          <w:bCs/>
          <w:color w:val="1F1E1E"/>
          <w:sz w:val="22"/>
          <w:szCs w:val="22"/>
        </w:rPr>
        <w:t xml:space="preserve">Gift Register</w:t>
      </w:r>
      <w:r>
        <w:rPr>
          <w:rFonts w:ascii="Arial" w:cs="Arial" w:eastAsia="Arial" w:hAnsi="Arial"/>
          <w:color w:val="1F1E1E"/>
          <w:sz w:val="22"/>
          <w:szCs w:val="22"/>
        </w:rPr>
        <w:t xml:space="preserve"> maintained by the Governance Committee. The Governance Committee shall review and may adjust the threshold every three (3) years.</w:t>
      </w:r>
    </w:p>
    <w:p>
      <w:pPr>
        <w:keepNext/>
        <w:spacing w:after="160" w:before="360"/>
      </w:pPr>
      <w:r>
        <w:rPr>
          <w:rFonts w:ascii="Arial" w:cs="Arial" w:eastAsia="Arial" w:hAnsi="Arial"/>
          <w:b/>
          <w:bCs/>
          <w:color w:val="561217"/>
          <w:sz w:val="26"/>
          <w:szCs w:val="26"/>
        </w:rPr>
        <w:t xml:space="preserve">Section F: Enforcement and Remedies</w:t>
      </w:r>
    </w:p>
    <w:p>
      <w:pPr>
        <w:spacing w:after="120" w:before="60" w:line="320"/>
        <w:jc w:val="both"/>
      </w:pPr>
      <w:r>
        <w:rPr>
          <w:rFonts w:ascii="Arial" w:cs="Arial" w:eastAsia="Arial" w:hAnsi="Arial"/>
          <w:color w:val="1F1E1E"/>
          <w:sz w:val="22"/>
          <w:szCs w:val="22"/>
        </w:rPr>
        <w:t xml:space="preserve">The Governance Committee shall oversee compliance with this policy and review all annual disclosures. Failure to disclose a conflict of interest shall be grounds for removal from the board or termination of employment.</w:t>
      </w:r>
    </w:p>
    <w:p>
      <w:pPr>
        <w:spacing w:after="120" w:before="60" w:line="320"/>
        <w:jc w:val="both"/>
      </w:pPr>
      <w:r>
        <w:rPr>
          <w:rFonts w:ascii="Arial" w:cs="Arial" w:eastAsia="Arial" w:hAnsi="Arial"/>
          <w:color w:val="1F1E1E"/>
          <w:sz w:val="22"/>
          <w:szCs w:val="22"/>
        </w:rPr>
        <w:t xml:space="preserve">Any Covered Person who believes this policy has been violated may report concerns through the confidential whistleblower reporting channel established under Holon Foundation Policy No. 05 (Whistleblower Protection Policy) without fear of retaliation.</w:t>
      </w:r>
    </w:p>
    <w:p>
      <w:pPr>
        <w:spacing w:after="120" w:before="60" w:line="320"/>
        <w:jc w:val="both"/>
      </w:pPr>
      <w:r>
        <w:rPr>
          <w:rFonts w:ascii="Arial" w:cs="Arial" w:eastAsia="Arial" w:hAnsi="Arial"/>
          <w:b/>
          <w:bCs/>
          <w:color w:val="1F1E1E"/>
          <w:sz w:val="22"/>
          <w:szCs w:val="22"/>
        </w:rPr>
        <w:t xml:space="preserve">F.2 — Graduated Remedies.</w:t>
      </w:r>
      <w:r>
        <w:rPr>
          <w:rFonts w:ascii="Arial" w:cs="Arial" w:eastAsia="Arial" w:hAnsi="Arial"/>
          <w:color w:val="1F1E1E"/>
          <w:sz w:val="22"/>
          <w:szCs w:val="22"/>
        </w:rPr>
        <w:t xml:space="preserve"> Upon a finding by majority vote of disinterested directors that a Covered Person has violated this Policy, the Board may impose one or more of the following remedies, calibrated to the gravity of the violation:</w:t>
      </w:r>
    </w:p>
    <w:p>
      <w:pPr>
        <w:spacing w:after="120" w:before="60" w:line="320"/>
        <w:jc w:val="both"/>
      </w:pPr>
      <w:r>
        <w:rPr>
          <w:rFonts w:ascii="Arial" w:cs="Arial" w:eastAsia="Arial" w:hAnsi="Arial"/>
          <w:color w:val="1F1E1E"/>
          <w:sz w:val="22"/>
          <w:szCs w:val="22"/>
        </w:rPr>
        <w:t xml:space="preserve">(a) private written reprimand; (b) public censure recorded in the minutes; (c) mandatory completion of ethics training within ninety (90) days; (d) removal from committee assignments; (e) suspension of voting rights for a stated period; (f) voiding of the conflicted transaction; or (g) removal from the Board pursuant to Bylaws Article [INSERT] § [INSERT].</w:t>
      </w:r>
    </w:p>
    <w:p>
      <w:pPr>
        <w:spacing w:after="120" w:before="60" w:line="320"/>
        <w:jc w:val="both"/>
      </w:pPr>
      <w:r>
        <w:rPr>
          <w:rFonts w:ascii="Arial" w:cs="Arial" w:eastAsia="Arial" w:hAnsi="Arial"/>
          <w:color w:val="1F1E1E"/>
          <w:sz w:val="22"/>
          <w:szCs w:val="22"/>
        </w:rPr>
        <w:t xml:space="preserve">Prior to the imposition of any remedy other than (a) or (b), the Covered Person shall receive written notice of the alleged violation and a reasonable opportunity, not less than fourteen (14) days, to respond in writing or in person before the Governance Committee.</w:t>
      </w:r>
    </w:p>
    <w:p>
      <w:pPr>
        <w:spacing w:after="120" w:before="60" w:line="320"/>
        <w:jc w:val="both"/>
      </w:pPr>
      <w:r>
        <w:rPr>
          <w:rFonts w:ascii="Arial" w:cs="Arial" w:eastAsia="Arial" w:hAnsi="Arial"/>
          <w:color w:val="1F1E1E"/>
          <w:sz w:val="22"/>
          <w:szCs w:val="22"/>
        </w:rPr>
        <w:t xml:space="preserve">This policy shall be reviewed annually by the Governance Committee and updated as needed.</w:t>
      </w:r>
    </w:p>
    <w:p>
      <w:pPr>
        <w:keepNext/>
        <w:spacing w:after="160" w:before="360"/>
      </w:pPr>
      <w:r>
        <w:rPr>
          <w:rFonts w:ascii="Arial" w:cs="Arial" w:eastAsia="Arial" w:hAnsi="Arial"/>
          <w:b/>
          <w:bCs/>
          <w:color w:val="561217"/>
          <w:sz w:val="26"/>
          <w:szCs w:val="26"/>
        </w:rPr>
        <w:t xml:space="preserve">Section G: Annual Disclosure Form (Schedule A)</w:t>
      </w:r>
    </w:p>
    <w:p>
      <w:pPr>
        <w:spacing w:after="120" w:before="60" w:line="320"/>
        <w:jc w:val="both"/>
      </w:pPr>
      <w:r>
        <w:rPr>
          <w:rFonts w:ascii="Arial" w:cs="Arial" w:eastAsia="Arial" w:hAnsi="Arial"/>
          <w:color w:val="1F1E1E"/>
          <w:sz w:val="22"/>
          <w:szCs w:val="22"/>
        </w:rPr>
        <w:t xml:space="preserve">The following information must be provided annually by all Covered Persons:</w:t>
      </w:r>
    </w:p>
    <w:p>
      <w:pPr>
        <w:spacing w:after="120" w:before="60" w:line="320"/>
        <w:jc w:val="both"/>
      </w:pPr>
      <w:r>
        <w:rPr>
          <w:rFonts w:ascii="Arial" w:cs="Arial" w:eastAsia="Arial" w:hAnsi="Arial"/>
          <w:b/>
          <w:bCs/>
          <w:color w:val="1F1E1E"/>
          <w:sz w:val="22"/>
          <w:szCs w:val="22"/>
        </w:rPr>
        <w:t xml:space="preserve">Certification:</w:t>
      </w:r>
      <w:r>
        <w:rPr>
          <w:rFonts w:ascii="Arial" w:cs="Arial" w:eastAsia="Arial" w:hAnsi="Arial"/>
          <w:color w:val="1F1E1E"/>
          <w:sz w:val="22"/>
          <w:szCs w:val="22"/>
        </w:rPr>
        <w:t xml:space="preserve"> I have read and understand the Holon Foundation Ethics and Conflict of Interest Policy. I agree to comply with its terms. I have disclosed all conflicts of interest known to me as of the date of this form. I will promptly disclose any new conflicts that arise during the year.</w:t>
      </w:r>
    </w:p>
    <w:p>
      <w:pPr>
        <w:spacing w:after="120" w:before="60" w:line="320"/>
        <w:jc w:val="both"/>
      </w:pPr>
      <w:r>
        <w:rPr>
          <w:rFonts w:ascii="Arial" w:cs="Arial" w:eastAsia="Arial" w:hAnsi="Arial"/>
          <w:b/>
          <w:bCs/>
          <w:color w:val="1F1E1E"/>
          <w:sz w:val="22"/>
          <w:szCs w:val="22"/>
        </w:rPr>
        <w:t xml:space="preserve">Acknowledgment of Receipt:</w:t>
      </w:r>
      <w:r>
        <w:rPr>
          <w:rFonts w:ascii="Arial" w:cs="Arial" w:eastAsia="Arial" w:hAnsi="Arial"/>
          <w:color w:val="1F1E1E"/>
          <w:sz w:val="22"/>
          <w:szCs w:val="22"/>
        </w:rPr>
        <w:t xml:space="preserve"> By signing below I confirm that I have received, read, and understand Holon Foundation Policy No. 04 (Ethics and Conflict of Interest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Disclosure Item</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Response</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Full Legal 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Position/Title with Holon Foundation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List all board memberships held with other organizations</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List all business interests or employment outside Holon Foundation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List any Family Members (as defined in § B) employed by or serving on boards of organizations that do business with Holon Foundation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List any financial interests held by you or your Family Members in any entity that has, or is negotiating, a transaction or arrangement with the Foundation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Describe any other relationships that could create a conflict of interest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Have you received Gifts exceeding $100 aggregated in the past calendar year from any entity doing business with Holon Foundation? If yes, describe and indicate whether returned, declined, or surrendered to the Gift Register.</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(First-year only) List any pre-existing financial relationships you held with persons or entities now doing business with the Foundation at the time of your initial appointment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04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04  ·  ETHICS AND CONFLICT OF INTEREST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and Conflict of Interest Policy</dc:title>
  <dc:creator>Holon Foundation</dc:creator>
  <dc:description>Holon Foundation — Policy No. 04</dc:description>
  <cp:lastModifiedBy>Un-named</cp:lastModifiedBy>
  <cp:revision>1</cp:revision>
  <dcterms:created xsi:type="dcterms:W3CDTF">2026-05-21T02:41:40.944Z</dcterms:created>
  <dcterms:modified xsi:type="dcterms:W3CDTF">2026-05-21T02:41:40.944Z</dcterms:modified>
</cp:coreProperties>
</file>

<file path=docProps/custom.xml><?xml version="1.0" encoding="utf-8"?>
<Properties xmlns="http://schemas.openxmlformats.org/officeDocument/2006/custom-properties" xmlns:vt="http://schemas.openxmlformats.org/officeDocument/2006/docPropsVTypes"/>
</file>