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03</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Covenant of Stewardship</w:t>
      </w:r>
    </w:p>
    <w:p>
      <w:pPr>
        <w:spacing w:after="0" w:before="0"/>
        <w:jc w:val="center"/>
      </w:pPr>
      <w:r>
        <w:rPr>
          <w:rFonts w:ascii="Arial" w:cs="Arial" w:eastAsia="Arial" w:hAnsi="Arial"/>
          <w:i/>
          <w:iCs/>
          <w:color w:val="4A4A4A"/>
          <w:sz w:val="20"/>
          <w:szCs w:val="20"/>
        </w:rPr>
        <w:t xml:space="preserve">Holon Foundation — Policy No. 03</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Invoked Texas Business Organizations Code § 22.221 by name and recited the three statutory fiduciary duties (care, loyalty, obedience) in § II, activating Texas Business Judgment Rule protections for directors.</w:t>
      </w:r>
    </w:p>
    <w:p>
      <w:pPr>
        <w:pStyle w:val="ListParagraph"/>
        <w:numPr>
          <w:ilvl w:val="0"/>
          <w:numId w:val="2"/>
        </w:numPr>
        <w:spacing w:after="40" w:before="40" w:line="300"/>
      </w:pPr>
      <w:r>
        <w:rPr>
          <w:rFonts w:ascii="Arial" w:cs="Arial" w:eastAsia="Arial" w:hAnsi="Arial"/>
          <w:color w:val="1F1E1E"/>
          <w:sz w:val="22"/>
          <w:szCs w:val="22"/>
        </w:rPr>
        <w:t xml:space="preserve">Added consequence and excused-absence definition to the 75% attendance commitment in § III, with referral path to the Governance Committee per Form 990 Part VI Line 1b expectations.</w:t>
      </w:r>
    </w:p>
    <w:p>
      <w:pPr>
        <w:pStyle w:val="ListParagraph"/>
        <w:numPr>
          <w:ilvl w:val="0"/>
          <w:numId w:val="2"/>
        </w:numPr>
        <w:spacing w:after="40" w:before="40" w:line="300"/>
      </w:pPr>
      <w:r>
        <w:rPr>
          <w:rFonts w:ascii="Arial" w:cs="Arial" w:eastAsia="Arial" w:hAnsi="Arial"/>
          <w:color w:val="1F1E1E"/>
          <w:sz w:val="22"/>
          <w:szCs w:val="22"/>
        </w:rPr>
        <w:t xml:space="preserve">Made annual execution of the Conflict of Interest Disclosure (Policy No. 04 Schedule A) a precondition to seating, in § IV, supporting Form 990 Part VI Lines 12a–c compliance.</w:t>
      </w:r>
    </w:p>
    <w:p>
      <w:pPr>
        <w:pStyle w:val="ListParagraph"/>
        <w:numPr>
          <w:ilvl w:val="0"/>
          <w:numId w:val="2"/>
        </w:numPr>
        <w:spacing w:after="40" w:before="40" w:line="300"/>
      </w:pPr>
      <w:r>
        <w:rPr>
          <w:rFonts w:ascii="Arial" w:cs="Arial" w:eastAsia="Arial" w:hAnsi="Arial"/>
          <w:color w:val="1F1E1E"/>
          <w:sz w:val="22"/>
          <w:szCs w:val="22"/>
        </w:rPr>
        <w:t xml:space="preserve">Specified a 10-business-day post-departure return-and-certification window in § VI, with explicit acknowledgment that confidentiality obligations under Policy No. 09 survive indefinitely.</w:t>
      </w:r>
    </w:p>
    <w:p>
      <w:pPr>
        <w:pStyle w:val="ListParagraph"/>
        <w:numPr>
          <w:ilvl w:val="0"/>
          <w:numId w:val="2"/>
        </w:numPr>
        <w:spacing w:after="40" w:before="40" w:line="300"/>
      </w:pPr>
      <w:r>
        <w:rPr>
          <w:rFonts w:ascii="Arial" w:cs="Arial" w:eastAsia="Arial" w:hAnsi="Arial"/>
          <w:color w:val="1F1E1E"/>
          <w:sz w:val="22"/>
          <w:szCs w:val="22"/>
        </w:rPr>
        <w:t xml:space="preserve">Replaced placeholder header metadata with a resolution-based adoption block, review cadence, and document custodian per BBB Wise Giving Standard 8 and BoardSource recommended practice.</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Preamble</w:t>
      </w:r>
    </w:p>
    <w:p>
      <w:pPr>
        <w:spacing w:after="120" w:before="60" w:line="320"/>
        <w:jc w:val="both"/>
      </w:pPr>
      <w:r>
        <w:rPr>
          <w:rFonts w:ascii="Arial" w:cs="Arial" w:eastAsia="Arial" w:hAnsi="Arial"/>
          <w:color w:val="1F1E1E"/>
          <w:sz w:val="22"/>
          <w:szCs w:val="22"/>
        </w:rPr>
        <w:t xml:space="preserve">Holon Foundation exists to advance conservation through community-scale stewardship, enabling individuals and households to transform their land into sources of ecological, social, and economic benefit. As directors, we are entrusted with the oversight of this mission and the public trust it carries. This Covenant expresses our shared commitment to governance excellence.</w:t>
      </w:r>
    </w:p>
    <w:p>
      <w:pPr>
        <w:keepNext/>
        <w:spacing w:after="160" w:before="360"/>
      </w:pPr>
      <w:r>
        <w:rPr>
          <w:rFonts w:ascii="Arial" w:cs="Arial" w:eastAsia="Arial" w:hAnsi="Arial"/>
          <w:b/>
          <w:bCs/>
          <w:color w:val="561217"/>
          <w:sz w:val="26"/>
          <w:szCs w:val="26"/>
        </w:rPr>
        <w:t xml:space="preserve">I. Mission Stewardship</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Advance and protect Holon Foundation's conservation mission in all board deliberations</w:t>
      </w:r>
    </w:p>
    <w:p>
      <w:pPr>
        <w:pStyle w:val="ListParagraph"/>
        <w:numPr>
          <w:ilvl w:val="0"/>
          <w:numId w:val="2"/>
        </w:numPr>
        <w:spacing w:after="40" w:before="40" w:line="300"/>
      </w:pPr>
      <w:r>
        <w:rPr>
          <w:rFonts w:ascii="Arial" w:cs="Arial" w:eastAsia="Arial" w:hAnsi="Arial"/>
          <w:color w:val="1F1E1E"/>
          <w:sz w:val="22"/>
          <w:szCs w:val="22"/>
        </w:rPr>
        <w:t xml:space="preserve">Evaluate organizational decisions through the lens of environmental impact, community benefit, and long-term sustainability</w:t>
      </w:r>
    </w:p>
    <w:p>
      <w:pPr>
        <w:pStyle w:val="ListParagraph"/>
        <w:numPr>
          <w:ilvl w:val="0"/>
          <w:numId w:val="2"/>
        </w:numPr>
        <w:spacing w:after="40" w:before="40" w:line="300"/>
      </w:pPr>
      <w:r>
        <w:rPr>
          <w:rFonts w:ascii="Arial" w:cs="Arial" w:eastAsia="Arial" w:hAnsi="Arial"/>
          <w:color w:val="1F1E1E"/>
          <w:sz w:val="22"/>
          <w:szCs w:val="22"/>
        </w:rPr>
        <w:t xml:space="preserve">Support the development and review of strategic plans that align resources with mission priorities</w:t>
      </w:r>
    </w:p>
    <w:p>
      <w:pPr>
        <w:pStyle w:val="ListParagraph"/>
        <w:numPr>
          <w:ilvl w:val="0"/>
          <w:numId w:val="2"/>
        </w:numPr>
        <w:spacing w:after="40" w:before="40" w:line="300"/>
      </w:pPr>
      <w:r>
        <w:rPr>
          <w:rFonts w:ascii="Arial" w:cs="Arial" w:eastAsia="Arial" w:hAnsi="Arial"/>
          <w:color w:val="1F1E1E"/>
          <w:sz w:val="22"/>
          <w:szCs w:val="22"/>
        </w:rPr>
        <w:t xml:space="preserve">Advocate for the communities and ecosystems served by Holon Foundation</w:t>
      </w:r>
    </w:p>
    <w:p>
      <w:pPr>
        <w:keepNext/>
        <w:spacing w:after="160" w:before="360"/>
      </w:pPr>
      <w:r>
        <w:rPr>
          <w:rFonts w:ascii="Arial" w:cs="Arial" w:eastAsia="Arial" w:hAnsi="Arial"/>
          <w:b/>
          <w:bCs/>
          <w:color w:val="561217"/>
          <w:sz w:val="26"/>
          <w:szCs w:val="26"/>
        </w:rPr>
        <w:t xml:space="preserve">II. Fiduciary Responsibility</w:t>
      </w:r>
    </w:p>
    <w:p>
      <w:pPr>
        <w:spacing w:after="120" w:before="60" w:line="320"/>
        <w:jc w:val="both"/>
      </w:pPr>
      <w:r>
        <w:rPr>
          <w:rFonts w:ascii="Arial" w:cs="Arial" w:eastAsia="Arial" w:hAnsi="Arial"/>
          <w:color w:val="1F1E1E"/>
          <w:sz w:val="22"/>
          <w:szCs w:val="22"/>
        </w:rPr>
        <w:t xml:space="preserve">I acknowledge that as a director of a Texas nonprofit corporation, I owe the Foundation three fiduciary duties under Texas Business Organizations Code § 22.221: (a) the </w:t>
      </w:r>
      <w:r>
        <w:rPr>
          <w:rFonts w:ascii="Arial" w:cs="Arial" w:eastAsia="Arial" w:hAnsi="Arial"/>
          <w:b/>
          <w:bCs/>
          <w:color w:val="1F1E1E"/>
          <w:sz w:val="22"/>
          <w:szCs w:val="22"/>
        </w:rPr>
        <w:t xml:space="preserve">duty of care</w:t>
      </w:r>
      <w:r>
        <w:rPr>
          <w:rFonts w:ascii="Arial" w:cs="Arial" w:eastAsia="Arial" w:hAnsi="Arial"/>
          <w:color w:val="1F1E1E"/>
          <w:sz w:val="22"/>
          <w:szCs w:val="22"/>
        </w:rPr>
        <w:t xml:space="preserve"> — to act with the care that an ordinarily prudent person in a like position would exercise under similar circumstances; (b) the </w:t>
      </w:r>
      <w:r>
        <w:rPr>
          <w:rFonts w:ascii="Arial" w:cs="Arial" w:eastAsia="Arial" w:hAnsi="Arial"/>
          <w:b/>
          <w:bCs/>
          <w:color w:val="1F1E1E"/>
          <w:sz w:val="22"/>
          <w:szCs w:val="22"/>
        </w:rPr>
        <w:t xml:space="preserve">duty of loyalty</w:t>
      </w:r>
      <w:r>
        <w:rPr>
          <w:rFonts w:ascii="Arial" w:cs="Arial" w:eastAsia="Arial" w:hAnsi="Arial"/>
          <w:color w:val="1F1E1E"/>
          <w:sz w:val="22"/>
          <w:szCs w:val="22"/>
        </w:rPr>
        <w:t xml:space="preserve"> — to act in good faith and in a manner I reasonably believe to be in the best interests of the Foundation; and (c) the </w:t>
      </w:r>
      <w:r>
        <w:rPr>
          <w:rFonts w:ascii="Arial" w:cs="Arial" w:eastAsia="Arial" w:hAnsi="Arial"/>
          <w:b/>
          <w:bCs/>
          <w:color w:val="1F1E1E"/>
          <w:sz w:val="22"/>
          <w:szCs w:val="22"/>
        </w:rPr>
        <w:t xml:space="preserve">duty of obedience</w:t>
      </w:r>
      <w:r>
        <w:rPr>
          <w:rFonts w:ascii="Arial" w:cs="Arial" w:eastAsia="Arial" w:hAnsi="Arial"/>
          <w:color w:val="1F1E1E"/>
          <w:sz w:val="22"/>
          <w:szCs w:val="22"/>
        </w:rPr>
        <w:t xml:space="preserve"> — to act consistently with the Foundation's mission, governing documents, and applicable law.</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Exercise prudent oversight of Holon Foundation's financial resources</w:t>
      </w:r>
    </w:p>
    <w:p>
      <w:pPr>
        <w:pStyle w:val="ListParagraph"/>
        <w:numPr>
          <w:ilvl w:val="0"/>
          <w:numId w:val="2"/>
        </w:numPr>
        <w:spacing w:after="40" w:before="40" w:line="300"/>
      </w:pPr>
      <w:r>
        <w:rPr>
          <w:rFonts w:ascii="Arial" w:cs="Arial" w:eastAsia="Arial" w:hAnsi="Arial"/>
          <w:color w:val="1F1E1E"/>
          <w:sz w:val="22"/>
          <w:szCs w:val="22"/>
        </w:rPr>
        <w:t xml:space="preserve">Review financial statements and reports with diligence and ask questions when needed</w:t>
      </w:r>
    </w:p>
    <w:p>
      <w:pPr>
        <w:pStyle w:val="ListParagraph"/>
        <w:numPr>
          <w:ilvl w:val="0"/>
          <w:numId w:val="2"/>
        </w:numPr>
        <w:spacing w:after="40" w:before="40" w:line="300"/>
      </w:pPr>
      <w:r>
        <w:rPr>
          <w:rFonts w:ascii="Arial" w:cs="Arial" w:eastAsia="Arial" w:hAnsi="Arial"/>
          <w:color w:val="1F1E1E"/>
          <w:sz w:val="22"/>
          <w:szCs w:val="22"/>
        </w:rPr>
        <w:t xml:space="preserve">Ensure the organization maintains appropriate insurance, reserves, and financial controls</w:t>
      </w:r>
    </w:p>
    <w:p>
      <w:pPr>
        <w:pStyle w:val="ListParagraph"/>
        <w:numPr>
          <w:ilvl w:val="0"/>
          <w:numId w:val="2"/>
        </w:numPr>
        <w:spacing w:after="40" w:before="40" w:line="300"/>
      </w:pPr>
      <w:r>
        <w:rPr>
          <w:rFonts w:ascii="Arial" w:cs="Arial" w:eastAsia="Arial" w:hAnsi="Arial"/>
          <w:color w:val="1F1E1E"/>
          <w:sz w:val="22"/>
          <w:szCs w:val="22"/>
        </w:rPr>
        <w:t xml:space="preserve">Support fundraising efforts through personal giving at a level meaningful to me and by opening doors to potential supporters</w:t>
      </w:r>
    </w:p>
    <w:p>
      <w:pPr>
        <w:keepNext/>
        <w:spacing w:after="160" w:before="360"/>
      </w:pPr>
      <w:r>
        <w:rPr>
          <w:rFonts w:ascii="Arial" w:cs="Arial" w:eastAsia="Arial" w:hAnsi="Arial"/>
          <w:b/>
          <w:bCs/>
          <w:color w:val="561217"/>
          <w:sz w:val="26"/>
          <w:szCs w:val="26"/>
        </w:rPr>
        <w:t xml:space="preserve">III. Governance Participation</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Attend at least 75% of regularly scheduled board meetings each fiscal year (special meetings count toward this threshold when given at least 14 days' notice). Unexcused absence from three (3) consecutive regular meetings, or failure to meet the 75% threshold, shall trigger referral to the Governance Committee for review and, if appropriate, recommendation of removal to the Board under Section [INSERT] of the Bylaws.</w:t>
      </w:r>
    </w:p>
    <w:p>
      <w:pPr>
        <w:pStyle w:val="ListParagraph"/>
        <w:numPr>
          <w:ilvl w:val="0"/>
          <w:numId w:val="2"/>
        </w:numPr>
        <w:spacing w:after="40" w:before="40" w:line="300"/>
      </w:pPr>
      <w:r>
        <w:rPr>
          <w:rFonts w:ascii="Arial" w:cs="Arial" w:eastAsia="Arial" w:hAnsi="Arial"/>
          <w:color w:val="1F1E1E"/>
          <w:sz w:val="22"/>
          <w:szCs w:val="22"/>
        </w:rPr>
        <w:t xml:space="preserve">Serve actively on at least one standing committee</w:t>
      </w:r>
    </w:p>
    <w:p>
      <w:pPr>
        <w:pStyle w:val="ListParagraph"/>
        <w:numPr>
          <w:ilvl w:val="0"/>
          <w:numId w:val="2"/>
        </w:numPr>
        <w:spacing w:after="40" w:before="40" w:line="300"/>
      </w:pPr>
      <w:r>
        <w:rPr>
          <w:rFonts w:ascii="Arial" w:cs="Arial" w:eastAsia="Arial" w:hAnsi="Arial"/>
          <w:color w:val="1F1E1E"/>
          <w:sz w:val="22"/>
          <w:szCs w:val="22"/>
        </w:rPr>
        <w:t xml:space="preserve">Review meeting materials in advance and come prepared for informed discussion</w:t>
      </w:r>
    </w:p>
    <w:p>
      <w:pPr>
        <w:pStyle w:val="ListParagraph"/>
        <w:numPr>
          <w:ilvl w:val="0"/>
          <w:numId w:val="2"/>
        </w:numPr>
        <w:spacing w:after="40" w:before="40" w:line="300"/>
      </w:pPr>
      <w:r>
        <w:rPr>
          <w:rFonts w:ascii="Arial" w:cs="Arial" w:eastAsia="Arial" w:hAnsi="Arial"/>
          <w:color w:val="1F1E1E"/>
          <w:sz w:val="22"/>
          <w:szCs w:val="22"/>
        </w:rPr>
        <w:t xml:space="preserve">Respond to action items and requests within agreed-upon timelines</w:t>
      </w:r>
    </w:p>
    <w:p>
      <w:pPr>
        <w:pStyle w:val="ListParagraph"/>
        <w:numPr>
          <w:ilvl w:val="0"/>
          <w:numId w:val="2"/>
        </w:numPr>
        <w:spacing w:after="40" w:before="40" w:line="300"/>
      </w:pPr>
      <w:r>
        <w:rPr>
          <w:rFonts w:ascii="Arial" w:cs="Arial" w:eastAsia="Arial" w:hAnsi="Arial"/>
          <w:color w:val="1F1E1E"/>
          <w:sz w:val="22"/>
          <w:szCs w:val="22"/>
        </w:rPr>
        <w:t xml:space="preserve">Participate in the annual board self-evaluation process</w:t>
      </w:r>
    </w:p>
    <w:p>
      <w:pPr>
        <w:pStyle w:val="ListParagraph"/>
        <w:numPr>
          <w:ilvl w:val="0"/>
          <w:numId w:val="2"/>
        </w:numPr>
        <w:spacing w:after="40" w:before="40" w:line="300"/>
      </w:pPr>
      <w:r>
        <w:rPr>
          <w:rFonts w:ascii="Arial" w:cs="Arial" w:eastAsia="Arial" w:hAnsi="Arial"/>
          <w:color w:val="1F1E1E"/>
          <w:sz w:val="22"/>
          <w:szCs w:val="22"/>
        </w:rPr>
        <w:t xml:space="preserve">Complete annual governance training and ethics refresher requirements</w:t>
      </w:r>
    </w:p>
    <w:p>
      <w:pPr>
        <w:keepNext/>
        <w:spacing w:after="160" w:before="360"/>
      </w:pPr>
      <w:r>
        <w:rPr>
          <w:rFonts w:ascii="Arial" w:cs="Arial" w:eastAsia="Arial" w:hAnsi="Arial"/>
          <w:b/>
          <w:bCs/>
          <w:color w:val="561217"/>
          <w:sz w:val="26"/>
          <w:szCs w:val="26"/>
        </w:rPr>
        <w:t xml:space="preserve">IV. Ethical Conduct</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Act at all times in the best interest of Holon Foundation, placing organizational mission above personal or professional interests</w:t>
      </w:r>
    </w:p>
    <w:p>
      <w:pPr>
        <w:pStyle w:val="ListParagraph"/>
        <w:numPr>
          <w:ilvl w:val="0"/>
          <w:numId w:val="2"/>
        </w:numPr>
        <w:spacing w:after="40" w:before="40" w:line="300"/>
      </w:pPr>
      <w:r>
        <w:rPr>
          <w:rFonts w:ascii="Arial" w:cs="Arial" w:eastAsia="Arial" w:hAnsi="Arial"/>
          <w:color w:val="1F1E1E"/>
          <w:sz w:val="22"/>
          <w:szCs w:val="22"/>
        </w:rPr>
        <w:t xml:space="preserve">Comply fully with Holon Foundation Policy No. 04 (Ethics and Conflict of Interest Policy), including completing and signing the Annual Conflict of Interest Disclosure Form (Schedule A of Policy No. 04) before being seated at my first board meeting and annually thereafter at the first regular meeting of each fiscal year. I understand that my seating is conditioned on the disclosure being on file with the Secretary of the Board.</w:t>
      </w:r>
    </w:p>
    <w:p>
      <w:pPr>
        <w:pStyle w:val="ListParagraph"/>
        <w:numPr>
          <w:ilvl w:val="0"/>
          <w:numId w:val="2"/>
        </w:numPr>
        <w:spacing w:after="40" w:before="40" w:line="300"/>
      </w:pPr>
      <w:r>
        <w:rPr>
          <w:rFonts w:ascii="Arial" w:cs="Arial" w:eastAsia="Arial" w:hAnsi="Arial"/>
          <w:color w:val="1F1E1E"/>
          <w:sz w:val="22"/>
          <w:szCs w:val="22"/>
        </w:rPr>
        <w:t xml:space="preserve">Maintain confidentiality of board deliberations, non-public financial information, and personnel matters, consistent with Holon Foundation Policy No. 09 (Confidentiality Agreement)</w:t>
      </w:r>
    </w:p>
    <w:p>
      <w:pPr>
        <w:pStyle w:val="ListParagraph"/>
        <w:numPr>
          <w:ilvl w:val="0"/>
          <w:numId w:val="2"/>
        </w:numPr>
        <w:spacing w:after="40" w:before="40" w:line="300"/>
      </w:pPr>
      <w:r>
        <w:rPr>
          <w:rFonts w:ascii="Arial" w:cs="Arial" w:eastAsia="Arial" w:hAnsi="Arial"/>
          <w:color w:val="1F1E1E"/>
          <w:sz w:val="22"/>
          <w:szCs w:val="22"/>
        </w:rPr>
        <w:t xml:space="preserve">Treat fellow directors, staff, volunteers, and community members with respect and dignity, consistent with Holon Foundation Policy No. 10 (Code of Conduct)</w:t>
      </w:r>
    </w:p>
    <w:p>
      <w:pPr>
        <w:pStyle w:val="ListParagraph"/>
        <w:numPr>
          <w:ilvl w:val="0"/>
          <w:numId w:val="2"/>
        </w:numPr>
        <w:spacing w:after="40" w:before="40" w:line="300"/>
      </w:pPr>
      <w:r>
        <w:rPr>
          <w:rFonts w:ascii="Arial" w:cs="Arial" w:eastAsia="Arial" w:hAnsi="Arial"/>
          <w:color w:val="1F1E1E"/>
          <w:sz w:val="22"/>
          <w:szCs w:val="22"/>
        </w:rPr>
        <w:t xml:space="preserve">Refrain from speaking on behalf of Holon Foundation unless authorized to do so, consistent with Holon Foundation Policy No. 14 (Social Media and Communications Policy)</w:t>
      </w:r>
    </w:p>
    <w:p>
      <w:pPr>
        <w:keepNext/>
        <w:spacing w:after="160" w:before="360"/>
      </w:pPr>
      <w:r>
        <w:rPr>
          <w:rFonts w:ascii="Arial" w:cs="Arial" w:eastAsia="Arial" w:hAnsi="Arial"/>
          <w:b/>
          <w:bCs/>
          <w:color w:val="561217"/>
          <w:sz w:val="26"/>
          <w:szCs w:val="26"/>
        </w:rPr>
        <w:t xml:space="preserve">V. Continuous Learning</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Deepen my understanding of Holon Foundation's programs, impact model, and the communities served</w:t>
      </w:r>
    </w:p>
    <w:p>
      <w:pPr>
        <w:pStyle w:val="ListParagraph"/>
        <w:numPr>
          <w:ilvl w:val="0"/>
          <w:numId w:val="2"/>
        </w:numPr>
        <w:spacing w:after="40" w:before="40" w:line="300"/>
      </w:pPr>
      <w:r>
        <w:rPr>
          <w:rFonts w:ascii="Arial" w:cs="Arial" w:eastAsia="Arial" w:hAnsi="Arial"/>
          <w:color w:val="1F1E1E"/>
          <w:sz w:val="22"/>
          <w:szCs w:val="22"/>
        </w:rPr>
        <w:t xml:space="preserve">Stay informed about trends in nonprofit governance, conservation policy, and community development</w:t>
      </w:r>
    </w:p>
    <w:p>
      <w:pPr>
        <w:pStyle w:val="ListParagraph"/>
        <w:numPr>
          <w:ilvl w:val="0"/>
          <w:numId w:val="2"/>
        </w:numPr>
        <w:spacing w:after="40" w:before="40" w:line="300"/>
      </w:pPr>
      <w:r>
        <w:rPr>
          <w:rFonts w:ascii="Arial" w:cs="Arial" w:eastAsia="Arial" w:hAnsi="Arial"/>
          <w:color w:val="1F1E1E"/>
          <w:sz w:val="22"/>
          <w:szCs w:val="22"/>
        </w:rPr>
        <w:t xml:space="preserve">Participate in board retreats, training sessions, and field visits</w:t>
      </w:r>
    </w:p>
    <w:p>
      <w:pPr>
        <w:pStyle w:val="ListParagraph"/>
        <w:numPr>
          <w:ilvl w:val="0"/>
          <w:numId w:val="2"/>
        </w:numPr>
        <w:spacing w:after="40" w:before="40" w:line="300"/>
      </w:pPr>
      <w:r>
        <w:rPr>
          <w:rFonts w:ascii="Arial" w:cs="Arial" w:eastAsia="Arial" w:hAnsi="Arial"/>
          <w:color w:val="1F1E1E"/>
          <w:sz w:val="22"/>
          <w:szCs w:val="22"/>
        </w:rPr>
        <w:t xml:space="preserve">Share relevant expertise and professional connections that may benefit the organization</w:t>
      </w:r>
    </w:p>
    <w:p>
      <w:pPr>
        <w:keepNext/>
        <w:spacing w:after="160" w:before="360"/>
      </w:pPr>
      <w:r>
        <w:rPr>
          <w:rFonts w:ascii="Arial" w:cs="Arial" w:eastAsia="Arial" w:hAnsi="Arial"/>
          <w:b/>
          <w:bCs/>
          <w:color w:val="561217"/>
          <w:sz w:val="26"/>
          <w:szCs w:val="26"/>
        </w:rPr>
        <w:t xml:space="preserve">VI. Transition and Succession</w:t>
      </w:r>
    </w:p>
    <w:p>
      <w:pPr>
        <w:spacing w:after="120" w:before="60" w:line="320"/>
        <w:jc w:val="both"/>
      </w:pPr>
      <w:r>
        <w:rPr>
          <w:rFonts w:ascii="Arial" w:cs="Arial" w:eastAsia="Arial" w:hAnsi="Arial"/>
          <w:color w:val="1F1E1E"/>
          <w:sz w:val="22"/>
          <w:szCs w:val="22"/>
        </w:rPr>
        <w:t xml:space="preserve">I commit to:</w:t>
      </w:r>
    </w:p>
    <w:p>
      <w:pPr>
        <w:pStyle w:val="ListParagraph"/>
        <w:numPr>
          <w:ilvl w:val="0"/>
          <w:numId w:val="2"/>
        </w:numPr>
        <w:spacing w:after="40" w:before="40" w:line="300"/>
      </w:pPr>
      <w:r>
        <w:rPr>
          <w:rFonts w:ascii="Arial" w:cs="Arial" w:eastAsia="Arial" w:hAnsi="Arial"/>
          <w:color w:val="1F1E1E"/>
          <w:sz w:val="22"/>
          <w:szCs w:val="22"/>
        </w:rPr>
        <w:t xml:space="preserve">Provide reasonable notice of my intent to step down from the board</w:t>
      </w:r>
    </w:p>
    <w:p>
      <w:pPr>
        <w:pStyle w:val="ListParagraph"/>
        <w:numPr>
          <w:ilvl w:val="0"/>
          <w:numId w:val="2"/>
        </w:numPr>
        <w:spacing w:after="40" w:before="40" w:line="300"/>
      </w:pPr>
      <w:r>
        <w:rPr>
          <w:rFonts w:ascii="Arial" w:cs="Arial" w:eastAsia="Arial" w:hAnsi="Arial"/>
          <w:color w:val="1F1E1E"/>
          <w:sz w:val="22"/>
          <w:szCs w:val="22"/>
        </w:rPr>
        <w:t xml:space="preserve">Support board recruitment and succession planning efforts</w:t>
      </w:r>
    </w:p>
    <w:p>
      <w:pPr>
        <w:pStyle w:val="ListParagraph"/>
        <w:numPr>
          <w:ilvl w:val="0"/>
          <w:numId w:val="2"/>
        </w:numPr>
        <w:spacing w:after="40" w:before="40" w:line="300"/>
      </w:pPr>
      <w:r>
        <w:rPr>
          <w:rFonts w:ascii="Arial" w:cs="Arial" w:eastAsia="Arial" w:hAnsi="Arial"/>
          <w:color w:val="1F1E1E"/>
          <w:sz w:val="22"/>
          <w:szCs w:val="22"/>
        </w:rPr>
        <w:t xml:space="preserve">Participate in the orientation of new board members when asked</w:t>
      </w:r>
    </w:p>
    <w:p>
      <w:pPr>
        <w:pStyle w:val="ListParagraph"/>
        <w:numPr>
          <w:ilvl w:val="0"/>
          <w:numId w:val="2"/>
        </w:numPr>
        <w:spacing w:after="40" w:before="40" w:line="300"/>
      </w:pPr>
      <w:r>
        <w:rPr>
          <w:rFonts w:ascii="Arial" w:cs="Arial" w:eastAsia="Arial" w:hAnsi="Arial"/>
          <w:color w:val="1F1E1E"/>
          <w:sz w:val="22"/>
          <w:szCs w:val="22"/>
        </w:rPr>
        <w:t xml:space="preserve">Within ten (10) business days of the effective date of my departure: (i) return all Foundation property, including hard-copy records, devices, and tokens; (ii) cooperate with IT to deactivate accounts and revoke access to governance systems; and (iii) deliver a written certification confirming compliance. I acknowledge that my obligations under the Confidentiality Agreement (Holon Foundation Policy No. 09) survive my service indefinitely as to non-public information I received while serving.</w:t>
      </w:r>
    </w:p>
    <w:p>
      <w:pPr>
        <w:keepNext/>
        <w:spacing w:after="160" w:before="360"/>
      </w:pPr>
      <w:r>
        <w:rPr>
          <w:rFonts w:ascii="Arial" w:cs="Arial" w:eastAsia="Arial" w:hAnsi="Arial"/>
          <w:b/>
          <w:bCs/>
          <w:color w:val="561217"/>
          <w:sz w:val="26"/>
          <w:szCs w:val="26"/>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Board Member Name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Term Start 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Term End 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Committee Assignment(s)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03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03  ·  COVENANT OF STEWARDSHIP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Covenant of Stewardship</dc:title>
  <dc:creator>Holon Foundation</dc:creator>
  <dc:description>Holon Foundation — Policy No. 03</dc:description>
  <cp:lastModifiedBy>Un-named</cp:lastModifiedBy>
  <cp:revision>1</cp:revision>
  <dcterms:created xsi:type="dcterms:W3CDTF">2026-05-21T02:41:40.817Z</dcterms:created>
  <dcterms:modified xsi:type="dcterms:W3CDTF">2026-05-21T02:41:40.817Z</dcterms:modified>
</cp:coreProperties>
</file>

<file path=docProps/custom.xml><?xml version="1.0" encoding="utf-8"?>
<Properties xmlns="http://schemas.openxmlformats.org/officeDocument/2006/custom-properties" xmlns:vt="http://schemas.openxmlformats.org/officeDocument/2006/docPropsVTypes"/>
</file>